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AB" w:rsidRDefault="006513FA">
      <w:pPr>
        <w:spacing w:before="76"/>
        <w:ind w:right="116"/>
        <w:jc w:val="right"/>
        <w:rPr>
          <w:b/>
          <w:sz w:val="21"/>
        </w:rPr>
      </w:pPr>
      <w:r>
        <w:rPr>
          <w:b/>
          <w:sz w:val="21"/>
          <w:u w:val="thick"/>
        </w:rPr>
        <w:t>Reportable</w:t>
      </w:r>
    </w:p>
    <w:p w:rsidR="008215AB" w:rsidRDefault="008215AB">
      <w:pPr>
        <w:pStyle w:val="BodyText"/>
        <w:rPr>
          <w:b/>
          <w:sz w:val="20"/>
        </w:rPr>
      </w:pPr>
    </w:p>
    <w:p w:rsidR="008215AB" w:rsidRDefault="008215AB">
      <w:pPr>
        <w:pStyle w:val="BodyText"/>
        <w:spacing w:before="11"/>
        <w:rPr>
          <w:b/>
          <w:sz w:val="21"/>
        </w:rPr>
      </w:pPr>
    </w:p>
    <w:p w:rsidR="008215AB" w:rsidRDefault="006513FA">
      <w:pPr>
        <w:pStyle w:val="Heading1"/>
        <w:spacing w:before="91"/>
        <w:ind w:left="2840" w:right="2496"/>
      </w:pPr>
      <w:r>
        <w:t>IN THE SUPREME COURT OF INDIA CIVIL APPELLATE JURISDICTION</w:t>
      </w:r>
    </w:p>
    <w:p w:rsidR="008215AB" w:rsidRDefault="008215AB">
      <w:pPr>
        <w:pStyle w:val="BodyText"/>
        <w:spacing w:before="2"/>
        <w:rPr>
          <w:b/>
        </w:rPr>
      </w:pPr>
    </w:p>
    <w:p w:rsidR="008215AB" w:rsidRDefault="006513FA">
      <w:pPr>
        <w:ind w:left="2869" w:right="2489"/>
        <w:jc w:val="center"/>
        <w:rPr>
          <w:b/>
          <w:sz w:val="25"/>
        </w:rPr>
      </w:pPr>
      <w:r>
        <w:rPr>
          <w:b/>
          <w:sz w:val="25"/>
          <w:u w:val="thick"/>
        </w:rPr>
        <w:t>Civil Appeal No 3992 of 2019</w:t>
      </w:r>
    </w:p>
    <w:p w:rsidR="008215AB" w:rsidRDefault="008215AB">
      <w:pPr>
        <w:pStyle w:val="BodyText"/>
        <w:rPr>
          <w:b/>
          <w:sz w:val="20"/>
        </w:rPr>
      </w:pPr>
    </w:p>
    <w:p w:rsidR="008215AB" w:rsidRDefault="008215AB">
      <w:pPr>
        <w:pStyle w:val="BodyText"/>
        <w:rPr>
          <w:b/>
          <w:sz w:val="20"/>
        </w:rPr>
      </w:pPr>
    </w:p>
    <w:p w:rsidR="008215AB" w:rsidRDefault="008215AB">
      <w:pPr>
        <w:pStyle w:val="BodyText"/>
        <w:rPr>
          <w:b/>
          <w:sz w:val="27"/>
        </w:rPr>
      </w:pPr>
    </w:p>
    <w:p w:rsidR="008215AB" w:rsidRDefault="006513FA">
      <w:pPr>
        <w:tabs>
          <w:tab w:val="left" w:pos="7292"/>
        </w:tabs>
        <w:spacing w:before="92"/>
        <w:ind w:right="7"/>
        <w:jc w:val="center"/>
        <w:rPr>
          <w:b/>
          <w:sz w:val="25"/>
        </w:rPr>
      </w:pPr>
      <w:r>
        <w:rPr>
          <w:b/>
          <w:sz w:val="25"/>
        </w:rPr>
        <w:t>Adani</w:t>
      </w:r>
      <w:r>
        <w:rPr>
          <w:b/>
          <w:spacing w:val="-3"/>
          <w:sz w:val="25"/>
        </w:rPr>
        <w:t xml:space="preserve"> </w:t>
      </w:r>
      <w:r>
        <w:rPr>
          <w:b/>
          <w:sz w:val="25"/>
        </w:rPr>
        <w:t>Gas</w:t>
      </w:r>
      <w:r>
        <w:rPr>
          <w:b/>
          <w:spacing w:val="-2"/>
          <w:sz w:val="25"/>
        </w:rPr>
        <w:t xml:space="preserve"> </w:t>
      </w:r>
      <w:r>
        <w:rPr>
          <w:b/>
          <w:sz w:val="25"/>
        </w:rPr>
        <w:t>Limited</w:t>
      </w:r>
      <w:r>
        <w:rPr>
          <w:b/>
          <w:sz w:val="25"/>
        </w:rPr>
        <w:tab/>
        <w:t>...Appellant</w:t>
      </w:r>
    </w:p>
    <w:p w:rsidR="008215AB" w:rsidRDefault="008215AB">
      <w:pPr>
        <w:pStyle w:val="BodyText"/>
        <w:rPr>
          <w:b/>
          <w:sz w:val="28"/>
        </w:rPr>
      </w:pPr>
    </w:p>
    <w:p w:rsidR="008215AB" w:rsidRDefault="008215AB">
      <w:pPr>
        <w:pStyle w:val="BodyText"/>
        <w:spacing w:before="11"/>
        <w:rPr>
          <w:b/>
          <w:sz w:val="21"/>
        </w:rPr>
      </w:pPr>
    </w:p>
    <w:p w:rsidR="008215AB" w:rsidRDefault="006513FA">
      <w:pPr>
        <w:ind w:left="2486" w:right="2496"/>
        <w:jc w:val="center"/>
        <w:rPr>
          <w:b/>
          <w:sz w:val="25"/>
        </w:rPr>
      </w:pPr>
      <w:r>
        <w:rPr>
          <w:b/>
          <w:sz w:val="25"/>
        </w:rPr>
        <w:t>Versus</w:t>
      </w:r>
    </w:p>
    <w:p w:rsidR="008215AB" w:rsidRDefault="008215AB">
      <w:pPr>
        <w:pStyle w:val="BodyText"/>
        <w:rPr>
          <w:b/>
          <w:sz w:val="28"/>
        </w:rPr>
      </w:pPr>
    </w:p>
    <w:p w:rsidR="008215AB" w:rsidRDefault="008215AB">
      <w:pPr>
        <w:pStyle w:val="BodyText"/>
        <w:rPr>
          <w:b/>
          <w:sz w:val="28"/>
        </w:rPr>
      </w:pPr>
    </w:p>
    <w:p w:rsidR="008215AB" w:rsidRDefault="006513FA">
      <w:pPr>
        <w:tabs>
          <w:tab w:val="left" w:leader="dot" w:pos="7739"/>
        </w:tabs>
        <w:spacing w:before="218"/>
        <w:ind w:left="500"/>
        <w:rPr>
          <w:b/>
          <w:sz w:val="25"/>
        </w:rPr>
      </w:pPr>
      <w:r>
        <w:rPr>
          <w:b/>
          <w:sz w:val="25"/>
        </w:rPr>
        <w:t>Petroleum and Natural Gas Regulatory Board</w:t>
      </w:r>
      <w:r>
        <w:rPr>
          <w:b/>
          <w:spacing w:val="-8"/>
          <w:sz w:val="25"/>
        </w:rPr>
        <w:t xml:space="preserve"> </w:t>
      </w:r>
      <w:r>
        <w:rPr>
          <w:b/>
          <w:sz w:val="25"/>
        </w:rPr>
        <w:t>&amp;</w:t>
      </w:r>
      <w:r>
        <w:rPr>
          <w:b/>
          <w:spacing w:val="-2"/>
          <w:sz w:val="25"/>
        </w:rPr>
        <w:t xml:space="preserve"> </w:t>
      </w:r>
      <w:r>
        <w:rPr>
          <w:b/>
          <w:sz w:val="25"/>
        </w:rPr>
        <w:t>Ors.</w:t>
      </w:r>
      <w:r>
        <w:rPr>
          <w:b/>
          <w:sz w:val="25"/>
        </w:rPr>
        <w:tab/>
        <w:t>Respondents</w:t>
      </w:r>
    </w:p>
    <w:p w:rsidR="008215AB" w:rsidRDefault="008215AB">
      <w:pPr>
        <w:pStyle w:val="BodyText"/>
        <w:rPr>
          <w:b/>
          <w:sz w:val="28"/>
        </w:rPr>
      </w:pPr>
    </w:p>
    <w:p w:rsidR="008215AB" w:rsidRDefault="008215AB">
      <w:pPr>
        <w:pStyle w:val="BodyText"/>
        <w:rPr>
          <w:b/>
          <w:sz w:val="28"/>
        </w:rPr>
      </w:pPr>
    </w:p>
    <w:p w:rsidR="008215AB" w:rsidRDefault="006513FA">
      <w:pPr>
        <w:spacing w:before="218"/>
        <w:ind w:left="2869" w:right="2492"/>
        <w:jc w:val="center"/>
        <w:rPr>
          <w:b/>
          <w:sz w:val="25"/>
        </w:rPr>
      </w:pPr>
      <w:r>
        <w:rPr>
          <w:b/>
          <w:sz w:val="25"/>
        </w:rPr>
        <w:t>With</w:t>
      </w:r>
    </w:p>
    <w:p w:rsidR="008215AB" w:rsidRDefault="008215AB">
      <w:pPr>
        <w:pStyle w:val="BodyText"/>
        <w:spacing w:before="1"/>
        <w:rPr>
          <w:b/>
        </w:rPr>
      </w:pPr>
    </w:p>
    <w:p w:rsidR="008215AB" w:rsidRDefault="006513FA">
      <w:pPr>
        <w:spacing w:before="1"/>
        <w:ind w:left="2869" w:right="2487"/>
        <w:jc w:val="center"/>
        <w:rPr>
          <w:b/>
          <w:sz w:val="25"/>
        </w:rPr>
      </w:pPr>
      <w:r>
        <w:rPr>
          <w:b/>
          <w:sz w:val="25"/>
          <w:u w:val="thick"/>
        </w:rPr>
        <w:t>Civil Appeal Nos 3234-3235 of 2019</w:t>
      </w:r>
    </w:p>
    <w:p w:rsidR="008215AB" w:rsidRDefault="008215AB">
      <w:pPr>
        <w:pStyle w:val="BodyText"/>
        <w:spacing w:before="10"/>
        <w:rPr>
          <w:b/>
          <w:sz w:val="16"/>
        </w:rPr>
      </w:pPr>
    </w:p>
    <w:p w:rsidR="008215AB" w:rsidRDefault="006513FA">
      <w:pPr>
        <w:spacing w:before="92"/>
        <w:ind w:left="2869" w:right="2492"/>
        <w:jc w:val="center"/>
        <w:rPr>
          <w:b/>
          <w:sz w:val="25"/>
        </w:rPr>
      </w:pPr>
      <w:r>
        <w:rPr>
          <w:b/>
          <w:sz w:val="25"/>
        </w:rPr>
        <w:t>With</w:t>
      </w:r>
    </w:p>
    <w:p w:rsidR="008215AB" w:rsidRDefault="008215AB">
      <w:pPr>
        <w:pStyle w:val="BodyText"/>
        <w:spacing w:before="1"/>
        <w:rPr>
          <w:b/>
        </w:rPr>
      </w:pPr>
    </w:p>
    <w:p w:rsidR="008215AB" w:rsidRDefault="006513FA">
      <w:pPr>
        <w:ind w:left="2869" w:right="2420"/>
        <w:jc w:val="center"/>
        <w:rPr>
          <w:b/>
          <w:sz w:val="25"/>
        </w:rPr>
      </w:pPr>
      <w:r>
        <w:rPr>
          <w:b/>
          <w:sz w:val="25"/>
          <w:u w:val="thick"/>
        </w:rPr>
        <w:t>Civil Appeal Nos 3247-3248 of 2019</w:t>
      </w:r>
    </w:p>
    <w:p w:rsidR="008215AB" w:rsidRDefault="008215AB">
      <w:pPr>
        <w:pStyle w:val="BodyText"/>
        <w:spacing w:before="10"/>
        <w:rPr>
          <w:b/>
          <w:sz w:val="16"/>
        </w:rPr>
      </w:pPr>
    </w:p>
    <w:p w:rsidR="008215AB" w:rsidRDefault="006513FA">
      <w:pPr>
        <w:spacing w:before="92"/>
        <w:ind w:left="2869" w:right="2492"/>
        <w:jc w:val="center"/>
        <w:rPr>
          <w:b/>
          <w:sz w:val="25"/>
        </w:rPr>
      </w:pPr>
      <w:r>
        <w:rPr>
          <w:b/>
          <w:sz w:val="25"/>
        </w:rPr>
        <w:t>With</w:t>
      </w:r>
    </w:p>
    <w:p w:rsidR="008215AB" w:rsidRDefault="008215AB">
      <w:pPr>
        <w:pStyle w:val="BodyText"/>
        <w:spacing w:before="1"/>
        <w:rPr>
          <w:b/>
        </w:rPr>
      </w:pPr>
    </w:p>
    <w:p w:rsidR="008215AB" w:rsidRDefault="006513FA">
      <w:pPr>
        <w:ind w:left="2869" w:right="2422"/>
        <w:jc w:val="center"/>
        <w:rPr>
          <w:b/>
          <w:sz w:val="25"/>
        </w:rPr>
      </w:pPr>
      <w:r>
        <w:rPr>
          <w:b/>
          <w:sz w:val="25"/>
          <w:u w:val="thick"/>
        </w:rPr>
        <w:t>Civil Appeal No 3289 of 2019</w:t>
      </w:r>
    </w:p>
    <w:p w:rsidR="008215AB" w:rsidRDefault="008215AB">
      <w:pPr>
        <w:pStyle w:val="BodyText"/>
        <w:spacing w:before="1"/>
        <w:rPr>
          <w:b/>
          <w:sz w:val="17"/>
        </w:rPr>
      </w:pPr>
    </w:p>
    <w:p w:rsidR="008215AB" w:rsidRDefault="006513FA">
      <w:pPr>
        <w:spacing w:before="92"/>
        <w:ind w:left="2869" w:right="2492"/>
        <w:jc w:val="center"/>
        <w:rPr>
          <w:b/>
          <w:sz w:val="25"/>
        </w:rPr>
      </w:pPr>
      <w:r>
        <w:rPr>
          <w:b/>
          <w:sz w:val="25"/>
        </w:rPr>
        <w:t>With</w:t>
      </w:r>
    </w:p>
    <w:p w:rsidR="008215AB" w:rsidRDefault="008215AB">
      <w:pPr>
        <w:pStyle w:val="BodyText"/>
        <w:spacing w:before="11"/>
        <w:rPr>
          <w:b/>
          <w:sz w:val="24"/>
        </w:rPr>
      </w:pPr>
    </w:p>
    <w:p w:rsidR="008215AB" w:rsidRDefault="006513FA">
      <w:pPr>
        <w:ind w:left="2869" w:right="2489"/>
        <w:jc w:val="center"/>
        <w:rPr>
          <w:b/>
          <w:sz w:val="25"/>
        </w:rPr>
      </w:pPr>
      <w:r>
        <w:rPr>
          <w:b/>
          <w:sz w:val="25"/>
          <w:u w:val="thick"/>
        </w:rPr>
        <w:t>Civil Appeal No 4527 of 2019</w:t>
      </w:r>
    </w:p>
    <w:p w:rsidR="008215AB" w:rsidRDefault="008215AB">
      <w:pPr>
        <w:pStyle w:val="BodyText"/>
        <w:spacing w:before="1"/>
        <w:rPr>
          <w:b/>
          <w:sz w:val="17"/>
        </w:rPr>
      </w:pPr>
    </w:p>
    <w:p w:rsidR="008215AB" w:rsidRDefault="006513FA">
      <w:pPr>
        <w:spacing w:before="92"/>
        <w:ind w:left="2869" w:right="2420"/>
        <w:jc w:val="center"/>
        <w:rPr>
          <w:b/>
          <w:sz w:val="25"/>
        </w:rPr>
      </w:pPr>
      <w:r>
        <w:rPr>
          <w:b/>
          <w:sz w:val="25"/>
        </w:rPr>
        <w:t>With</w:t>
      </w:r>
    </w:p>
    <w:p w:rsidR="008215AB" w:rsidRDefault="008215AB">
      <w:pPr>
        <w:pStyle w:val="BodyText"/>
        <w:spacing w:before="10"/>
        <w:rPr>
          <w:b/>
          <w:sz w:val="24"/>
        </w:rPr>
      </w:pPr>
    </w:p>
    <w:p w:rsidR="008215AB" w:rsidRDefault="006513FA">
      <w:pPr>
        <w:ind w:left="2869" w:right="2490"/>
        <w:jc w:val="center"/>
        <w:rPr>
          <w:b/>
          <w:sz w:val="25"/>
        </w:rPr>
      </w:pPr>
      <w:r>
        <w:rPr>
          <w:b/>
          <w:sz w:val="25"/>
          <w:u w:val="thick"/>
        </w:rPr>
        <w:t>T.C. (C) No 27 of 2019</w:t>
      </w:r>
    </w:p>
    <w:p w:rsidR="008215AB" w:rsidRDefault="008215AB">
      <w:pPr>
        <w:pStyle w:val="BodyText"/>
        <w:spacing w:before="1"/>
        <w:rPr>
          <w:b/>
          <w:sz w:val="17"/>
        </w:rPr>
      </w:pPr>
    </w:p>
    <w:p w:rsidR="008215AB" w:rsidRDefault="006513FA">
      <w:pPr>
        <w:spacing w:before="92"/>
        <w:ind w:left="2869" w:right="2492"/>
        <w:jc w:val="center"/>
        <w:rPr>
          <w:b/>
          <w:sz w:val="25"/>
        </w:rPr>
      </w:pPr>
      <w:r>
        <w:rPr>
          <w:b/>
          <w:sz w:val="25"/>
        </w:rPr>
        <w:t>With</w:t>
      </w:r>
    </w:p>
    <w:p w:rsidR="008215AB" w:rsidRDefault="008215AB">
      <w:pPr>
        <w:pStyle w:val="BodyText"/>
        <w:spacing w:before="10"/>
        <w:rPr>
          <w:b/>
          <w:sz w:val="16"/>
        </w:rPr>
      </w:pPr>
    </w:p>
    <w:p w:rsidR="008215AB" w:rsidRDefault="008215AB">
      <w:pPr>
        <w:rPr>
          <w:sz w:val="16"/>
        </w:rPr>
        <w:sectPr w:rsidR="008215AB">
          <w:footerReference w:type="default" r:id="rId7"/>
          <w:type w:val="continuous"/>
          <w:pgSz w:w="11910" w:h="16840"/>
          <w:pgMar w:top="1340" w:right="1320" w:bottom="1220" w:left="940" w:header="720" w:footer="1034" w:gutter="0"/>
          <w:pgNumType w:start="1"/>
          <w:cols w:space="720"/>
        </w:sectPr>
      </w:pPr>
    </w:p>
    <w:p w:rsidR="008215AB" w:rsidRDefault="008215AB">
      <w:pPr>
        <w:pStyle w:val="BodyText"/>
        <w:rPr>
          <w:b/>
          <w:sz w:val="10"/>
        </w:rPr>
      </w:pPr>
    </w:p>
    <w:p w:rsidR="008215AB" w:rsidRDefault="008215AB">
      <w:pPr>
        <w:pStyle w:val="BodyText"/>
        <w:rPr>
          <w:b/>
          <w:sz w:val="10"/>
        </w:rPr>
      </w:pPr>
    </w:p>
    <w:p w:rsidR="008215AB" w:rsidRDefault="008215AB">
      <w:pPr>
        <w:ind w:right="38"/>
        <w:jc w:val="right"/>
        <w:rPr>
          <w:sz w:val="9"/>
        </w:rPr>
      </w:pPr>
      <w:r w:rsidRPr="008215AB">
        <w:pict>
          <v:group id="_x0000_s2061" style="position:absolute;left:0;text-align:left;margin-left:52pt;margin-top:2.25pt;width:37.8pt;height:33.75pt;z-index:15729152;mso-position-horizontal-relative:page" coordorigin="1040,45" coordsize="756,675">
            <v:shape id="_x0000_s2065"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64"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63" style="position:absolute;left:1258;top:45;width:417;height:611" coordorigin="1258,45" coordsize="417,611"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62" type="#_x0000_t202" style="position:absolute;left:1040;top:44;width:756;height:675" filled="f" stroked="f">
              <v:textbox inset="0,0,0,0">
                <w:txbxContent>
                  <w:p w:rsidR="008215AB" w:rsidRDefault="006513FA">
                    <w:pPr>
                      <w:spacing w:line="59" w:lineRule="exact"/>
                      <w:ind w:right="-44"/>
                      <w:rPr>
                        <w:sz w:val="9"/>
                      </w:rPr>
                    </w:pPr>
                    <w:r>
                      <w:rPr>
                        <w:w w:val="105"/>
                        <w:sz w:val="9"/>
                      </w:rPr>
                      <w:t>Signature Not</w:t>
                    </w:r>
                    <w:r>
                      <w:rPr>
                        <w:spacing w:val="-3"/>
                        <w:w w:val="105"/>
                        <w:sz w:val="9"/>
                      </w:rPr>
                      <w:t xml:space="preserve"> Verif</w:t>
                    </w:r>
                  </w:p>
                  <w:p w:rsidR="008215AB" w:rsidRDefault="008215AB">
                    <w:pPr>
                      <w:spacing w:before="5"/>
                      <w:rPr>
                        <w:sz w:val="12"/>
                      </w:rPr>
                    </w:pPr>
                  </w:p>
                  <w:p w:rsidR="008215AB" w:rsidRDefault="006513FA">
                    <w:pPr>
                      <w:spacing w:before="1" w:line="218" w:lineRule="auto"/>
                      <w:ind w:right="-6"/>
                      <w:rPr>
                        <w:sz w:val="9"/>
                      </w:rPr>
                    </w:pPr>
                    <w:r>
                      <w:rPr>
                        <w:w w:val="105"/>
                        <w:sz w:val="9"/>
                      </w:rPr>
                      <w:t xml:space="preserve">Digitally signed </w:t>
                    </w:r>
                    <w:r>
                      <w:rPr>
                        <w:spacing w:val="-10"/>
                        <w:w w:val="105"/>
                        <w:sz w:val="9"/>
                      </w:rPr>
                      <w:t xml:space="preserve">by </w:t>
                    </w:r>
                    <w:r>
                      <w:rPr>
                        <w:w w:val="105"/>
                        <w:sz w:val="9"/>
                      </w:rPr>
                      <w:t>SANJAY KUMAR Date: 2020.02.17</w:t>
                    </w:r>
                  </w:p>
                  <w:p w:rsidR="008215AB" w:rsidRDefault="006513FA">
                    <w:pPr>
                      <w:spacing w:line="90" w:lineRule="exact"/>
                      <w:rPr>
                        <w:sz w:val="9"/>
                      </w:rPr>
                    </w:pPr>
                    <w:r>
                      <w:rPr>
                        <w:w w:val="105"/>
                        <w:sz w:val="9"/>
                      </w:rPr>
                      <w:t>13:49:24 IST</w:t>
                    </w:r>
                  </w:p>
                  <w:p w:rsidR="008215AB" w:rsidRDefault="006513FA">
                    <w:pPr>
                      <w:spacing w:line="99" w:lineRule="exact"/>
                      <w:rPr>
                        <w:sz w:val="9"/>
                      </w:rPr>
                    </w:pPr>
                    <w:r>
                      <w:rPr>
                        <w:w w:val="105"/>
                        <w:sz w:val="9"/>
                      </w:rPr>
                      <w:t>Reason:</w:t>
                    </w:r>
                  </w:p>
                </w:txbxContent>
              </v:textbox>
            </v:shape>
            <w10:wrap anchorx="page"/>
          </v:group>
        </w:pict>
      </w:r>
      <w:r w:rsidR="006513FA">
        <w:rPr>
          <w:sz w:val="9"/>
        </w:rPr>
        <w:t>ied</w:t>
      </w:r>
    </w:p>
    <w:p w:rsidR="008215AB" w:rsidRDefault="006513FA">
      <w:pPr>
        <w:pStyle w:val="Heading1"/>
        <w:spacing w:before="92"/>
        <w:ind w:left="894"/>
        <w:jc w:val="left"/>
      </w:pPr>
      <w:r>
        <w:rPr>
          <w:b w:val="0"/>
        </w:rPr>
        <w:br w:type="column"/>
      </w:r>
      <w:r>
        <w:rPr>
          <w:u w:val="thick"/>
        </w:rPr>
        <w:lastRenderedPageBreak/>
        <w:t>T.C. (C) No 26 of 2019</w:t>
      </w:r>
    </w:p>
    <w:p w:rsidR="008215AB" w:rsidRDefault="008215AB">
      <w:pPr>
        <w:sectPr w:rsidR="008215AB">
          <w:type w:val="continuous"/>
          <w:pgSz w:w="11910" w:h="16840"/>
          <w:pgMar w:top="1340" w:right="1320" w:bottom="1220" w:left="940" w:header="720" w:footer="720" w:gutter="0"/>
          <w:cols w:num="2" w:space="720" w:equalWidth="0">
            <w:col w:w="1060" w:space="1775"/>
            <w:col w:w="6815"/>
          </w:cols>
        </w:sectPr>
      </w:pPr>
    </w:p>
    <w:p w:rsidR="008215AB" w:rsidRDefault="008215AB">
      <w:pPr>
        <w:pStyle w:val="BodyText"/>
        <w:spacing w:before="2"/>
        <w:rPr>
          <w:b/>
          <w:sz w:val="17"/>
        </w:rPr>
      </w:pPr>
    </w:p>
    <w:p w:rsidR="008215AB" w:rsidRDefault="006513FA">
      <w:pPr>
        <w:spacing w:before="91"/>
        <w:ind w:left="2869" w:right="2490"/>
        <w:jc w:val="center"/>
        <w:rPr>
          <w:b/>
          <w:sz w:val="25"/>
        </w:rPr>
      </w:pPr>
      <w:r>
        <w:rPr>
          <w:b/>
          <w:sz w:val="25"/>
          <w:u w:val="thick"/>
        </w:rPr>
        <w:t>And With</w:t>
      </w:r>
    </w:p>
    <w:p w:rsidR="008215AB" w:rsidRDefault="008215AB">
      <w:pPr>
        <w:pStyle w:val="BodyText"/>
        <w:spacing w:before="2"/>
        <w:rPr>
          <w:b/>
          <w:sz w:val="17"/>
        </w:rPr>
      </w:pPr>
    </w:p>
    <w:p w:rsidR="008215AB" w:rsidRDefault="006513FA">
      <w:pPr>
        <w:spacing w:before="92"/>
        <w:ind w:left="2869" w:right="2489"/>
        <w:jc w:val="center"/>
        <w:rPr>
          <w:b/>
          <w:sz w:val="25"/>
        </w:rPr>
      </w:pPr>
      <w:r>
        <w:rPr>
          <w:b/>
          <w:sz w:val="25"/>
          <w:u w:val="thick"/>
        </w:rPr>
        <w:t>Civil Appeal No 106 of 2020</w:t>
      </w:r>
    </w:p>
    <w:p w:rsidR="008215AB" w:rsidRDefault="008215AB">
      <w:pPr>
        <w:jc w:val="center"/>
        <w:rPr>
          <w:sz w:val="25"/>
        </w:rPr>
        <w:sectPr w:rsidR="008215AB">
          <w:type w:val="continuous"/>
          <w:pgSz w:w="11910" w:h="16840"/>
          <w:pgMar w:top="1340" w:right="1320" w:bottom="1220" w:left="940" w:header="720" w:footer="720" w:gutter="0"/>
          <w:cols w:space="720"/>
        </w:sectPr>
      </w:pPr>
    </w:p>
    <w:p w:rsidR="008215AB" w:rsidRDefault="006513FA">
      <w:pPr>
        <w:spacing w:before="75"/>
        <w:ind w:left="2869" w:right="2489"/>
        <w:jc w:val="center"/>
        <w:rPr>
          <w:b/>
          <w:sz w:val="25"/>
        </w:rPr>
      </w:pPr>
      <w:r>
        <w:rPr>
          <w:b/>
          <w:sz w:val="25"/>
          <w:u w:val="thick"/>
        </w:rPr>
        <w:lastRenderedPageBreak/>
        <w:t>J U D G M E N T</w:t>
      </w:r>
    </w:p>
    <w:p w:rsidR="008215AB" w:rsidRDefault="008215AB">
      <w:pPr>
        <w:pStyle w:val="BodyText"/>
        <w:rPr>
          <w:b/>
          <w:sz w:val="20"/>
        </w:rPr>
      </w:pPr>
    </w:p>
    <w:p w:rsidR="008215AB" w:rsidRDefault="008215AB">
      <w:pPr>
        <w:pStyle w:val="BodyText"/>
        <w:rPr>
          <w:b/>
          <w:sz w:val="20"/>
        </w:rPr>
      </w:pPr>
    </w:p>
    <w:p w:rsidR="008215AB" w:rsidRDefault="008215AB">
      <w:pPr>
        <w:pStyle w:val="BodyText"/>
        <w:rPr>
          <w:b/>
          <w:sz w:val="20"/>
        </w:rPr>
      </w:pPr>
    </w:p>
    <w:p w:rsidR="008215AB" w:rsidRDefault="008215AB">
      <w:pPr>
        <w:pStyle w:val="BodyText"/>
        <w:rPr>
          <w:b/>
          <w:sz w:val="20"/>
        </w:rPr>
      </w:pPr>
    </w:p>
    <w:p w:rsidR="008215AB" w:rsidRDefault="008215AB">
      <w:pPr>
        <w:pStyle w:val="BodyText"/>
        <w:rPr>
          <w:b/>
          <w:sz w:val="20"/>
        </w:rPr>
      </w:pPr>
    </w:p>
    <w:p w:rsidR="008215AB" w:rsidRDefault="008215AB">
      <w:pPr>
        <w:pStyle w:val="BodyText"/>
        <w:spacing w:before="10"/>
        <w:rPr>
          <w:b/>
          <w:sz w:val="19"/>
        </w:rPr>
      </w:pPr>
    </w:p>
    <w:p w:rsidR="008215AB" w:rsidRDefault="006513FA">
      <w:pPr>
        <w:pStyle w:val="Title"/>
        <w:rPr>
          <w:u w:val="none"/>
        </w:rPr>
      </w:pPr>
      <w:r>
        <w:rPr>
          <w:u w:val="thick"/>
        </w:rPr>
        <w:t>Dr Dhananjaya Y Chandrachud J</w:t>
      </w:r>
    </w:p>
    <w:p w:rsidR="008215AB" w:rsidRDefault="008215AB">
      <w:pPr>
        <w:pStyle w:val="BodyText"/>
        <w:rPr>
          <w:b/>
          <w:sz w:val="20"/>
        </w:rPr>
      </w:pPr>
    </w:p>
    <w:p w:rsidR="008215AB" w:rsidRDefault="008215AB">
      <w:pPr>
        <w:pStyle w:val="BodyText"/>
        <w:spacing w:before="7"/>
        <w:rPr>
          <w:b/>
          <w:sz w:val="19"/>
        </w:rPr>
      </w:pPr>
    </w:p>
    <w:p w:rsidR="008215AB" w:rsidRDefault="006513FA">
      <w:pPr>
        <w:pStyle w:val="ListParagraph"/>
        <w:numPr>
          <w:ilvl w:val="0"/>
          <w:numId w:val="8"/>
        </w:numPr>
        <w:tabs>
          <w:tab w:val="left" w:pos="1221"/>
        </w:tabs>
        <w:spacing w:before="131" w:line="480" w:lineRule="auto"/>
        <w:ind w:right="114" w:firstLine="0"/>
        <w:jc w:val="both"/>
        <w:rPr>
          <w:sz w:val="25"/>
        </w:rPr>
      </w:pPr>
      <w:r>
        <w:rPr>
          <w:sz w:val="25"/>
        </w:rPr>
        <w:t>In 2018 the Petroleum and Natural Gas Regulatory Board</w:t>
      </w:r>
      <w:r>
        <w:rPr>
          <w:sz w:val="25"/>
          <w:vertAlign w:val="superscript"/>
        </w:rPr>
        <w:t>1</w:t>
      </w:r>
      <w:r>
        <w:rPr>
          <w:sz w:val="25"/>
        </w:rPr>
        <w:t xml:space="preserve"> conducted the ninth round of bidding for City or Local Natural Gas Distribution Networks</w:t>
      </w:r>
      <w:r>
        <w:rPr>
          <w:sz w:val="25"/>
          <w:vertAlign w:val="superscript"/>
        </w:rPr>
        <w:t>2</w:t>
      </w:r>
      <w:r>
        <w:rPr>
          <w:sz w:val="25"/>
        </w:rPr>
        <w:t>. On 14 September 2018, a press release was placed on the Board‘s website notif</w:t>
      </w:r>
      <w:r>
        <w:rPr>
          <w:sz w:val="25"/>
        </w:rPr>
        <w:t>ying details of the successful bidders in various Geographical Areas</w:t>
      </w:r>
      <w:r>
        <w:rPr>
          <w:sz w:val="25"/>
          <w:vertAlign w:val="superscript"/>
        </w:rPr>
        <w:t>3</w:t>
      </w:r>
      <w:r>
        <w:rPr>
          <w:sz w:val="25"/>
        </w:rPr>
        <w:t>. The contest in the present batch of appeals has arisen over the grant of authorisation for laying, building, operating or expanding CGD networks in the following</w:t>
      </w:r>
      <w:r>
        <w:rPr>
          <w:spacing w:val="-4"/>
          <w:sz w:val="25"/>
        </w:rPr>
        <w:t xml:space="preserve"> </w:t>
      </w:r>
      <w:r>
        <w:rPr>
          <w:sz w:val="25"/>
        </w:rPr>
        <w:t>GAs:</w:t>
      </w:r>
    </w:p>
    <w:p w:rsidR="008215AB" w:rsidRDefault="006513FA">
      <w:pPr>
        <w:pStyle w:val="ListParagraph"/>
        <w:numPr>
          <w:ilvl w:val="1"/>
          <w:numId w:val="8"/>
        </w:numPr>
        <w:tabs>
          <w:tab w:val="left" w:pos="1940"/>
          <w:tab w:val="left" w:pos="1941"/>
        </w:tabs>
        <w:spacing w:line="287" w:lineRule="exact"/>
        <w:ind w:right="0" w:hanging="721"/>
        <w:rPr>
          <w:sz w:val="25"/>
        </w:rPr>
      </w:pPr>
      <w:r>
        <w:rPr>
          <w:sz w:val="25"/>
        </w:rPr>
        <w:t>GA 51 - Puducherry</w:t>
      </w:r>
      <w:r>
        <w:rPr>
          <w:spacing w:val="-2"/>
          <w:sz w:val="25"/>
        </w:rPr>
        <w:t xml:space="preserve"> </w:t>
      </w:r>
      <w:r>
        <w:rPr>
          <w:sz w:val="25"/>
        </w:rPr>
        <w:t>District;</w:t>
      </w:r>
    </w:p>
    <w:p w:rsidR="008215AB" w:rsidRDefault="008215AB">
      <w:pPr>
        <w:pStyle w:val="BodyText"/>
        <w:spacing w:before="2"/>
      </w:pPr>
    </w:p>
    <w:p w:rsidR="008215AB" w:rsidRDefault="006513FA">
      <w:pPr>
        <w:pStyle w:val="ListParagraph"/>
        <w:numPr>
          <w:ilvl w:val="1"/>
          <w:numId w:val="8"/>
        </w:numPr>
        <w:tabs>
          <w:tab w:val="left" w:pos="1940"/>
          <w:tab w:val="left" w:pos="1941"/>
        </w:tabs>
        <w:ind w:right="0" w:hanging="721"/>
        <w:rPr>
          <w:sz w:val="25"/>
        </w:rPr>
      </w:pPr>
      <w:r>
        <w:rPr>
          <w:sz w:val="25"/>
        </w:rPr>
        <w:t>GA 61 - Kanchipuram District;</w:t>
      </w:r>
      <w:r>
        <w:rPr>
          <w:spacing w:val="-2"/>
          <w:sz w:val="25"/>
        </w:rPr>
        <w:t xml:space="preserve"> </w:t>
      </w:r>
      <w:r>
        <w:rPr>
          <w:sz w:val="25"/>
        </w:rPr>
        <w:t>and</w:t>
      </w:r>
    </w:p>
    <w:p w:rsidR="008215AB" w:rsidRDefault="008215AB">
      <w:pPr>
        <w:pStyle w:val="BodyText"/>
        <w:spacing w:before="10"/>
        <w:rPr>
          <w:sz w:val="24"/>
        </w:rPr>
      </w:pPr>
    </w:p>
    <w:p w:rsidR="008215AB" w:rsidRDefault="006513FA">
      <w:pPr>
        <w:pStyle w:val="ListParagraph"/>
        <w:numPr>
          <w:ilvl w:val="1"/>
          <w:numId w:val="8"/>
        </w:numPr>
        <w:tabs>
          <w:tab w:val="left" w:pos="1940"/>
          <w:tab w:val="left" w:pos="1941"/>
        </w:tabs>
        <w:ind w:right="0" w:hanging="721"/>
        <w:rPr>
          <w:sz w:val="25"/>
        </w:rPr>
      </w:pPr>
      <w:r>
        <w:rPr>
          <w:sz w:val="25"/>
        </w:rPr>
        <w:t>GA 62 – Chennai &amp; Tiruvallur</w:t>
      </w:r>
      <w:r>
        <w:rPr>
          <w:spacing w:val="-4"/>
          <w:sz w:val="25"/>
        </w:rPr>
        <w:t xml:space="preserve"> </w:t>
      </w:r>
      <w:r>
        <w:rPr>
          <w:sz w:val="25"/>
        </w:rPr>
        <w:t>Districts.</w:t>
      </w:r>
    </w:p>
    <w:p w:rsidR="008215AB" w:rsidRDefault="008215AB">
      <w:pPr>
        <w:pStyle w:val="BodyText"/>
        <w:rPr>
          <w:sz w:val="28"/>
        </w:rPr>
      </w:pPr>
    </w:p>
    <w:p w:rsidR="008215AB" w:rsidRDefault="008215AB">
      <w:pPr>
        <w:pStyle w:val="BodyText"/>
        <w:spacing w:before="10"/>
        <w:rPr>
          <w:sz w:val="21"/>
        </w:rPr>
      </w:pPr>
    </w:p>
    <w:p w:rsidR="008215AB" w:rsidRDefault="008215AB">
      <w:pPr>
        <w:pStyle w:val="ListParagraph"/>
        <w:numPr>
          <w:ilvl w:val="0"/>
          <w:numId w:val="8"/>
        </w:numPr>
        <w:tabs>
          <w:tab w:val="left" w:pos="1221"/>
        </w:tabs>
        <w:spacing w:before="1" w:line="480" w:lineRule="auto"/>
        <w:ind w:right="116" w:firstLine="0"/>
        <w:jc w:val="both"/>
        <w:rPr>
          <w:sz w:val="25"/>
        </w:rPr>
      </w:pPr>
      <w:r w:rsidRPr="008215AB">
        <w:pict>
          <v:rect id="_x0000_s2060" style="position:absolute;left:0;text-align:left;margin-left:1in;margin-top:235.35pt;width:2in;height:.6pt;z-index:-15727616;mso-wrap-distance-left:0;mso-wrap-distance-right:0;mso-position-horizontal-relative:page" fillcolor="black" stroked="f">
            <w10:wrap type="topAndBottom" anchorx="page"/>
          </v:rect>
        </w:pict>
      </w:r>
      <w:r w:rsidR="006513FA">
        <w:rPr>
          <w:sz w:val="25"/>
        </w:rPr>
        <w:t>The Appellate Tribunal for Electricity</w:t>
      </w:r>
      <w:r w:rsidR="006513FA">
        <w:rPr>
          <w:sz w:val="25"/>
          <w:vertAlign w:val="superscript"/>
        </w:rPr>
        <w:t>4</w:t>
      </w:r>
      <w:r w:rsidR="006513FA">
        <w:rPr>
          <w:sz w:val="25"/>
        </w:rPr>
        <w:t xml:space="preserve"> was seized of two appeals – Appeal No 292 of 2018, instituted by Adani Gas Limited and Appeal No 323 of 2018, instituted by IM</w:t>
      </w:r>
      <w:r w:rsidR="006513FA">
        <w:rPr>
          <w:sz w:val="25"/>
        </w:rPr>
        <w:t>C Limited. These appeals were instituted before the APTEL under Section 30(1) of the Petroleum and Natural Gas Regulatory Board Act 2006</w:t>
      </w:r>
      <w:r w:rsidR="006513FA">
        <w:rPr>
          <w:sz w:val="25"/>
          <w:vertAlign w:val="superscript"/>
        </w:rPr>
        <w:t>5</w:t>
      </w:r>
      <w:r w:rsidR="006513FA">
        <w:rPr>
          <w:sz w:val="25"/>
        </w:rPr>
        <w:t xml:space="preserve">. By their separate judgments dated 28 February 2019, the Chairperson and Member Technical (Petroleum and Natural Gas) </w:t>
      </w:r>
      <w:r w:rsidR="006513FA">
        <w:rPr>
          <w:sz w:val="25"/>
        </w:rPr>
        <w:t>rendered divergent findings, following which the Chairperson directed that the proceedings in the two appeals be placed before</w:t>
      </w:r>
      <w:r w:rsidR="006513FA">
        <w:rPr>
          <w:spacing w:val="12"/>
          <w:sz w:val="25"/>
        </w:rPr>
        <w:t xml:space="preserve"> </w:t>
      </w:r>
      <w:r w:rsidR="006513FA">
        <w:rPr>
          <w:sz w:val="25"/>
        </w:rPr>
        <w:t>the</w:t>
      </w:r>
      <w:r w:rsidR="006513FA">
        <w:rPr>
          <w:spacing w:val="13"/>
          <w:sz w:val="25"/>
        </w:rPr>
        <w:t xml:space="preserve"> </w:t>
      </w:r>
      <w:r w:rsidR="006513FA">
        <w:rPr>
          <w:sz w:val="25"/>
        </w:rPr>
        <w:t>judicial</w:t>
      </w:r>
      <w:r w:rsidR="006513FA">
        <w:rPr>
          <w:spacing w:val="13"/>
          <w:sz w:val="25"/>
        </w:rPr>
        <w:t xml:space="preserve"> </w:t>
      </w:r>
      <w:r w:rsidR="006513FA">
        <w:rPr>
          <w:sz w:val="25"/>
        </w:rPr>
        <w:t>member.</w:t>
      </w:r>
      <w:r w:rsidR="006513FA">
        <w:rPr>
          <w:spacing w:val="12"/>
          <w:sz w:val="25"/>
        </w:rPr>
        <w:t xml:space="preserve"> </w:t>
      </w:r>
      <w:r w:rsidR="006513FA">
        <w:rPr>
          <w:sz w:val="25"/>
        </w:rPr>
        <w:t>The</w:t>
      </w:r>
      <w:r w:rsidR="006513FA">
        <w:rPr>
          <w:spacing w:val="13"/>
          <w:sz w:val="25"/>
        </w:rPr>
        <w:t xml:space="preserve"> </w:t>
      </w:r>
      <w:r w:rsidR="006513FA">
        <w:rPr>
          <w:sz w:val="25"/>
        </w:rPr>
        <w:t>judicial</w:t>
      </w:r>
      <w:r w:rsidR="006513FA">
        <w:rPr>
          <w:spacing w:val="12"/>
          <w:sz w:val="25"/>
        </w:rPr>
        <w:t xml:space="preserve"> </w:t>
      </w:r>
      <w:r w:rsidR="006513FA">
        <w:rPr>
          <w:sz w:val="25"/>
        </w:rPr>
        <w:t>member</w:t>
      </w:r>
      <w:r w:rsidR="006513FA">
        <w:rPr>
          <w:spacing w:val="13"/>
          <w:sz w:val="25"/>
        </w:rPr>
        <w:t xml:space="preserve"> </w:t>
      </w:r>
      <w:r w:rsidR="006513FA">
        <w:rPr>
          <w:sz w:val="25"/>
        </w:rPr>
        <w:t>recused</w:t>
      </w:r>
      <w:r w:rsidR="006513FA">
        <w:rPr>
          <w:spacing w:val="21"/>
          <w:sz w:val="25"/>
        </w:rPr>
        <w:t xml:space="preserve"> </w:t>
      </w:r>
      <w:r w:rsidR="006513FA">
        <w:rPr>
          <w:sz w:val="25"/>
        </w:rPr>
        <w:t>from</w:t>
      </w:r>
      <w:r w:rsidR="006513FA">
        <w:rPr>
          <w:spacing w:val="13"/>
          <w:sz w:val="25"/>
        </w:rPr>
        <w:t xml:space="preserve"> </w:t>
      </w:r>
      <w:r w:rsidR="006513FA">
        <w:rPr>
          <w:sz w:val="25"/>
        </w:rPr>
        <w:t>hearing</w:t>
      </w:r>
      <w:r w:rsidR="006513FA">
        <w:rPr>
          <w:spacing w:val="13"/>
          <w:sz w:val="25"/>
        </w:rPr>
        <w:t xml:space="preserve"> </w:t>
      </w:r>
      <w:r w:rsidR="006513FA">
        <w:rPr>
          <w:sz w:val="25"/>
        </w:rPr>
        <w:t>the</w:t>
      </w:r>
    </w:p>
    <w:p w:rsidR="008215AB" w:rsidRDefault="006513FA">
      <w:pPr>
        <w:spacing w:before="80"/>
        <w:ind w:left="500"/>
        <w:rPr>
          <w:sz w:val="18"/>
        </w:rPr>
      </w:pPr>
      <w:r>
        <w:rPr>
          <w:sz w:val="18"/>
          <w:vertAlign w:val="superscript"/>
        </w:rPr>
        <w:t>1</w:t>
      </w:r>
      <w:r>
        <w:rPr>
          <w:sz w:val="18"/>
        </w:rPr>
        <w:t xml:space="preserve"> ―the Board‖</w:t>
      </w:r>
    </w:p>
    <w:p w:rsidR="008215AB" w:rsidRDefault="006513FA">
      <w:pPr>
        <w:spacing w:line="207" w:lineRule="exact"/>
        <w:ind w:left="500"/>
        <w:rPr>
          <w:sz w:val="18"/>
        </w:rPr>
      </w:pPr>
      <w:r>
        <w:rPr>
          <w:sz w:val="18"/>
          <w:vertAlign w:val="superscript"/>
        </w:rPr>
        <w:t>2</w:t>
      </w:r>
      <w:r>
        <w:rPr>
          <w:sz w:val="18"/>
        </w:rPr>
        <w:t xml:space="preserve"> ―CGD Networks‖</w:t>
      </w:r>
    </w:p>
    <w:p w:rsidR="008215AB" w:rsidRDefault="006513FA">
      <w:pPr>
        <w:spacing w:line="206" w:lineRule="exact"/>
        <w:ind w:left="500"/>
        <w:rPr>
          <w:sz w:val="18"/>
        </w:rPr>
      </w:pPr>
      <w:r>
        <w:rPr>
          <w:sz w:val="18"/>
          <w:vertAlign w:val="superscript"/>
        </w:rPr>
        <w:t>3</w:t>
      </w:r>
      <w:r>
        <w:rPr>
          <w:sz w:val="18"/>
        </w:rPr>
        <w:t xml:space="preserve"> ―GAs"</w:t>
      </w:r>
    </w:p>
    <w:p w:rsidR="008215AB" w:rsidRDefault="006513FA">
      <w:pPr>
        <w:spacing w:line="207" w:lineRule="exact"/>
        <w:ind w:left="500"/>
        <w:rPr>
          <w:sz w:val="18"/>
        </w:rPr>
      </w:pPr>
      <w:r>
        <w:rPr>
          <w:sz w:val="18"/>
          <w:vertAlign w:val="superscript"/>
        </w:rPr>
        <w:t>4</w:t>
      </w:r>
      <w:r>
        <w:rPr>
          <w:sz w:val="18"/>
        </w:rPr>
        <w:t xml:space="preserve"> ―APTEL‖ or ―Tribunal‖</w:t>
      </w:r>
    </w:p>
    <w:p w:rsidR="008215AB" w:rsidRDefault="006513FA">
      <w:pPr>
        <w:spacing w:before="2"/>
        <w:ind w:left="500"/>
        <w:rPr>
          <w:sz w:val="18"/>
        </w:rPr>
      </w:pPr>
      <w:r>
        <w:rPr>
          <w:sz w:val="18"/>
          <w:vertAlign w:val="superscript"/>
        </w:rPr>
        <w:t>5</w:t>
      </w:r>
      <w:r>
        <w:rPr>
          <w:sz w:val="18"/>
        </w:rPr>
        <w:t xml:space="preserve"> ―PNGRB Act‖</w:t>
      </w:r>
    </w:p>
    <w:p w:rsidR="008215AB" w:rsidRDefault="008215AB">
      <w:pPr>
        <w:rPr>
          <w:sz w:val="18"/>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3"/>
        <w:jc w:val="both"/>
      </w:pPr>
      <w:r>
        <w:t>appeals on 7 March 2019. This led to the institution of the present appeals before this Court. Noting that no other judicial member was available in the APTEL to conduct the hearing, this Court by its order dated 1 April 201</w:t>
      </w:r>
      <w:r>
        <w:t xml:space="preserve">9 admitted the appeals and issued directions in exercise of its powers under Article 142 of the Constitution for the transfer of the proceedings before the APTEL to this Court in order to bring finality to the present dispute. In assessing the merits, the </w:t>
      </w:r>
      <w:r>
        <w:t>Court has had the benefit of appraising the differing views which have been expressed by the Chairperson and by the Member Technical (Petroleum and Natural</w:t>
      </w:r>
      <w:r>
        <w:rPr>
          <w:spacing w:val="-15"/>
        </w:rPr>
        <w:t xml:space="preserve"> </w:t>
      </w:r>
      <w:r>
        <w:t>Gas).</w:t>
      </w:r>
    </w:p>
    <w:p w:rsidR="008215AB" w:rsidRDefault="008215AB">
      <w:pPr>
        <w:pStyle w:val="BodyText"/>
        <w:spacing w:before="11"/>
        <w:rPr>
          <w:sz w:val="24"/>
        </w:rPr>
      </w:pPr>
    </w:p>
    <w:p w:rsidR="008215AB" w:rsidRDefault="006513FA">
      <w:pPr>
        <w:pStyle w:val="ListParagraph"/>
        <w:numPr>
          <w:ilvl w:val="0"/>
          <w:numId w:val="8"/>
        </w:numPr>
        <w:tabs>
          <w:tab w:val="left" w:pos="1220"/>
          <w:tab w:val="left" w:pos="1221"/>
        </w:tabs>
        <w:spacing w:line="480" w:lineRule="auto"/>
        <w:ind w:right="119" w:firstLine="0"/>
        <w:jc w:val="left"/>
        <w:rPr>
          <w:sz w:val="25"/>
        </w:rPr>
      </w:pPr>
      <w:r>
        <w:rPr>
          <w:sz w:val="25"/>
        </w:rPr>
        <w:t>The APTEL has been constituted in terms of sub-Section (1) of Section 30 of the PNGRB Act whi</w:t>
      </w:r>
      <w:r>
        <w:rPr>
          <w:sz w:val="25"/>
        </w:rPr>
        <w:t>ch is extracted</w:t>
      </w:r>
      <w:r>
        <w:rPr>
          <w:spacing w:val="-5"/>
          <w:sz w:val="25"/>
        </w:rPr>
        <w:t xml:space="preserve"> </w:t>
      </w:r>
      <w:r>
        <w:rPr>
          <w:sz w:val="25"/>
        </w:rPr>
        <w:t>below:</w:t>
      </w:r>
    </w:p>
    <w:p w:rsidR="008215AB" w:rsidRDefault="006513FA">
      <w:pPr>
        <w:spacing w:line="276" w:lineRule="auto"/>
        <w:ind w:left="1940" w:right="1942"/>
        <w:jc w:val="both"/>
        <w:rPr>
          <w:sz w:val="21"/>
        </w:rPr>
      </w:pPr>
      <w:r>
        <w:rPr>
          <w:w w:val="33"/>
          <w:sz w:val="21"/>
        </w:rPr>
        <w:t>―</w:t>
      </w:r>
      <w:r>
        <w:rPr>
          <w:b/>
          <w:sz w:val="21"/>
        </w:rPr>
        <w:t>30</w:t>
      </w:r>
      <w:r>
        <w:rPr>
          <w:sz w:val="21"/>
        </w:rPr>
        <w:t>.</w:t>
      </w:r>
      <w:r>
        <w:rPr>
          <w:sz w:val="21"/>
        </w:rPr>
        <w:t xml:space="preserve"> </w:t>
      </w:r>
      <w:r>
        <w:rPr>
          <w:b/>
          <w:sz w:val="21"/>
        </w:rPr>
        <w:t>Appellate</w:t>
      </w:r>
      <w:r>
        <w:rPr>
          <w:b/>
          <w:sz w:val="21"/>
        </w:rPr>
        <w:t xml:space="preserve"> </w:t>
      </w:r>
      <w:r>
        <w:rPr>
          <w:b/>
          <w:sz w:val="21"/>
        </w:rPr>
        <w:t>Tribunal.</w:t>
      </w:r>
      <w:r>
        <w:rPr>
          <w:b/>
          <w:sz w:val="21"/>
        </w:rPr>
        <w:t xml:space="preserve"> </w:t>
      </w:r>
      <w:r>
        <w:rPr>
          <w:sz w:val="21"/>
        </w:rPr>
        <w:t>(1)</w:t>
      </w:r>
      <w:r>
        <w:rPr>
          <w:sz w:val="21"/>
        </w:rPr>
        <w:t xml:space="preserve"> </w:t>
      </w:r>
      <w:r>
        <w:rPr>
          <w:sz w:val="21"/>
        </w:rPr>
        <w:t>Subject</w:t>
      </w:r>
      <w:r>
        <w:rPr>
          <w:sz w:val="21"/>
        </w:rPr>
        <w:t xml:space="preserve"> </w:t>
      </w:r>
      <w:r>
        <w:rPr>
          <w:sz w:val="21"/>
        </w:rPr>
        <w:t>to</w:t>
      </w:r>
      <w:r>
        <w:rPr>
          <w:sz w:val="21"/>
        </w:rPr>
        <w:t xml:space="preserve"> </w:t>
      </w:r>
      <w:r>
        <w:rPr>
          <w:sz w:val="21"/>
        </w:rPr>
        <w:t>the</w:t>
      </w:r>
      <w:r>
        <w:rPr>
          <w:sz w:val="21"/>
        </w:rPr>
        <w:t xml:space="preserve"> </w:t>
      </w:r>
      <w:r>
        <w:rPr>
          <w:sz w:val="21"/>
        </w:rPr>
        <w:t>provisions</w:t>
      </w:r>
      <w:r>
        <w:rPr>
          <w:sz w:val="21"/>
        </w:rPr>
        <w:t xml:space="preserve"> </w:t>
      </w:r>
      <w:r>
        <w:rPr>
          <w:sz w:val="21"/>
        </w:rPr>
        <w:t>of</w:t>
      </w:r>
      <w:r>
        <w:rPr>
          <w:sz w:val="21"/>
        </w:rPr>
        <w:t xml:space="preserve"> </w:t>
      </w:r>
      <w:r>
        <w:rPr>
          <w:sz w:val="21"/>
        </w:rPr>
        <w:t xml:space="preserve">this </w:t>
      </w:r>
      <w:r>
        <w:rPr>
          <w:sz w:val="21"/>
        </w:rPr>
        <w:t>Act, the Appellate Tribunal established under section 110 of the Electricity Act, 2003 (36 of 2003) shall be the Appellate Tribunal for the purposes of this Act and the s</w:t>
      </w:r>
      <w:r>
        <w:rPr>
          <w:sz w:val="21"/>
        </w:rPr>
        <w:t>aid Appellate Tribunal shall exercise the jurisdiction, powers and authority conferred on it by or under this Act:</w:t>
      </w:r>
    </w:p>
    <w:p w:rsidR="008215AB" w:rsidRDefault="006513FA">
      <w:pPr>
        <w:spacing w:before="1" w:line="276" w:lineRule="auto"/>
        <w:ind w:left="1940" w:right="1944"/>
        <w:jc w:val="both"/>
        <w:rPr>
          <w:sz w:val="21"/>
        </w:rPr>
      </w:pPr>
      <w:r>
        <w:rPr>
          <w:sz w:val="21"/>
        </w:rPr>
        <w:t>Provided that the Technical Member of the Appellate Tribunal for the purposes of this Act shall be called the Technical Member (Petroleum and Natural Gas) and shall have the qualifications specified in sub-section (2) of section 31.‖</w:t>
      </w:r>
    </w:p>
    <w:p w:rsidR="008215AB" w:rsidRDefault="008215AB">
      <w:pPr>
        <w:pStyle w:val="BodyText"/>
        <w:rPr>
          <w:sz w:val="24"/>
        </w:rPr>
      </w:pPr>
    </w:p>
    <w:p w:rsidR="008215AB" w:rsidRDefault="008215AB">
      <w:pPr>
        <w:pStyle w:val="BodyText"/>
        <w:spacing w:before="2"/>
      </w:pPr>
    </w:p>
    <w:p w:rsidR="008215AB" w:rsidRDefault="006513FA">
      <w:pPr>
        <w:pStyle w:val="BodyText"/>
        <w:spacing w:line="480" w:lineRule="auto"/>
        <w:ind w:left="500" w:right="122"/>
        <w:jc w:val="both"/>
      </w:pPr>
      <w:r>
        <w:t>Section 33 stipulate</w:t>
      </w:r>
      <w:r>
        <w:t>s that any person aggrieved by an order or decision of the Board has recourse to an appeal to the Tribunal. The jurisdiction of the APTEL while hearing an appeal is spelt out in sub-Section (6) of Section 33 in the following terms:</w:t>
      </w:r>
    </w:p>
    <w:p w:rsidR="008215AB" w:rsidRDefault="006513FA">
      <w:pPr>
        <w:spacing w:line="276" w:lineRule="auto"/>
        <w:ind w:left="1940" w:right="1941"/>
        <w:jc w:val="both"/>
        <w:rPr>
          <w:sz w:val="21"/>
        </w:rPr>
      </w:pPr>
      <w:r>
        <w:rPr>
          <w:spacing w:val="-1"/>
          <w:w w:val="33"/>
          <w:sz w:val="21"/>
        </w:rPr>
        <w:t>―</w:t>
      </w:r>
      <w:r>
        <w:rPr>
          <w:spacing w:val="-1"/>
          <w:sz w:val="21"/>
        </w:rPr>
        <w:t>33.(6</w:t>
      </w:r>
      <w:r>
        <w:rPr>
          <w:sz w:val="21"/>
        </w:rPr>
        <w:t>)</w:t>
      </w:r>
      <w:r>
        <w:rPr>
          <w:sz w:val="21"/>
        </w:rPr>
        <w:t xml:space="preserve">  </w:t>
      </w:r>
      <w:r>
        <w:rPr>
          <w:spacing w:val="-23"/>
          <w:sz w:val="21"/>
        </w:rPr>
        <w:t xml:space="preserve"> </w:t>
      </w:r>
      <w:r>
        <w:rPr>
          <w:spacing w:val="-2"/>
          <w:sz w:val="21"/>
        </w:rPr>
        <w:t>T</w:t>
      </w:r>
      <w:r>
        <w:rPr>
          <w:spacing w:val="-1"/>
          <w:sz w:val="21"/>
        </w:rPr>
        <w:t>h</w:t>
      </w:r>
      <w:r>
        <w:rPr>
          <w:sz w:val="21"/>
        </w:rPr>
        <w:t>e</w:t>
      </w:r>
      <w:r>
        <w:rPr>
          <w:sz w:val="21"/>
        </w:rPr>
        <w:t xml:space="preserve">  </w:t>
      </w:r>
      <w:r>
        <w:rPr>
          <w:spacing w:val="-24"/>
          <w:sz w:val="21"/>
        </w:rPr>
        <w:t xml:space="preserve"> </w:t>
      </w:r>
      <w:r>
        <w:rPr>
          <w:sz w:val="21"/>
        </w:rPr>
        <w:t>A</w:t>
      </w:r>
      <w:r>
        <w:rPr>
          <w:spacing w:val="-3"/>
          <w:sz w:val="21"/>
        </w:rPr>
        <w:t>p</w:t>
      </w:r>
      <w:r>
        <w:rPr>
          <w:spacing w:val="-1"/>
          <w:sz w:val="21"/>
        </w:rPr>
        <w:t>p</w:t>
      </w:r>
      <w:r>
        <w:rPr>
          <w:spacing w:val="-3"/>
          <w:sz w:val="21"/>
        </w:rPr>
        <w:t>e</w:t>
      </w:r>
      <w:r>
        <w:rPr>
          <w:sz w:val="21"/>
        </w:rPr>
        <w:t>l</w:t>
      </w:r>
      <w:r>
        <w:rPr>
          <w:spacing w:val="-2"/>
          <w:sz w:val="21"/>
        </w:rPr>
        <w:t>l</w:t>
      </w:r>
      <w:r>
        <w:rPr>
          <w:spacing w:val="-1"/>
          <w:sz w:val="21"/>
        </w:rPr>
        <w:t>at</w:t>
      </w:r>
      <w:r>
        <w:rPr>
          <w:sz w:val="21"/>
        </w:rPr>
        <w:t>e</w:t>
      </w:r>
      <w:r>
        <w:rPr>
          <w:sz w:val="21"/>
        </w:rPr>
        <w:t xml:space="preserve">  </w:t>
      </w:r>
      <w:r>
        <w:rPr>
          <w:spacing w:val="-24"/>
          <w:sz w:val="21"/>
        </w:rPr>
        <w:t xml:space="preserve"> </w:t>
      </w:r>
      <w:r>
        <w:rPr>
          <w:spacing w:val="-2"/>
          <w:sz w:val="21"/>
        </w:rPr>
        <w:t>T</w:t>
      </w:r>
      <w:r>
        <w:rPr>
          <w:spacing w:val="-1"/>
          <w:sz w:val="21"/>
        </w:rPr>
        <w:t>r</w:t>
      </w:r>
      <w:r>
        <w:rPr>
          <w:sz w:val="21"/>
        </w:rPr>
        <w:t>i</w:t>
      </w:r>
      <w:r>
        <w:rPr>
          <w:spacing w:val="-1"/>
          <w:sz w:val="21"/>
        </w:rPr>
        <w:t>bu</w:t>
      </w:r>
      <w:r>
        <w:rPr>
          <w:spacing w:val="-2"/>
          <w:sz w:val="21"/>
        </w:rPr>
        <w:t>n</w:t>
      </w:r>
      <w:r>
        <w:rPr>
          <w:spacing w:val="-1"/>
          <w:sz w:val="21"/>
        </w:rPr>
        <w:t>a</w:t>
      </w:r>
      <w:r>
        <w:rPr>
          <w:sz w:val="21"/>
        </w:rPr>
        <w:t>l</w:t>
      </w:r>
      <w:r>
        <w:rPr>
          <w:sz w:val="21"/>
        </w:rPr>
        <w:t xml:space="preserve">  </w:t>
      </w:r>
      <w:r>
        <w:rPr>
          <w:spacing w:val="-26"/>
          <w:sz w:val="21"/>
        </w:rPr>
        <w:t xml:space="preserve"> </w:t>
      </w:r>
      <w:r>
        <w:rPr>
          <w:spacing w:val="1"/>
          <w:sz w:val="21"/>
        </w:rPr>
        <w:t>m</w:t>
      </w:r>
      <w:r>
        <w:rPr>
          <w:spacing w:val="-1"/>
          <w:sz w:val="21"/>
        </w:rPr>
        <w:t>a</w:t>
      </w:r>
      <w:r>
        <w:rPr>
          <w:spacing w:val="-3"/>
          <w:sz w:val="21"/>
        </w:rPr>
        <w:t>y</w:t>
      </w:r>
      <w:r>
        <w:rPr>
          <w:sz w:val="21"/>
        </w:rPr>
        <w:t>,</w:t>
      </w:r>
      <w:r>
        <w:rPr>
          <w:sz w:val="21"/>
        </w:rPr>
        <w:t xml:space="preserve">  </w:t>
      </w:r>
      <w:r>
        <w:rPr>
          <w:spacing w:val="-23"/>
          <w:sz w:val="21"/>
        </w:rPr>
        <w:t xml:space="preserve"> </w:t>
      </w:r>
      <w:r>
        <w:rPr>
          <w:spacing w:val="-2"/>
          <w:sz w:val="21"/>
        </w:rPr>
        <w:t>f</w:t>
      </w:r>
      <w:r>
        <w:rPr>
          <w:spacing w:val="-1"/>
          <w:sz w:val="21"/>
        </w:rPr>
        <w:t>o</w:t>
      </w:r>
      <w:r>
        <w:rPr>
          <w:sz w:val="21"/>
        </w:rPr>
        <w:t>r</w:t>
      </w:r>
      <w:r>
        <w:rPr>
          <w:sz w:val="21"/>
        </w:rPr>
        <w:t xml:space="preserve">  </w:t>
      </w:r>
      <w:r>
        <w:rPr>
          <w:spacing w:val="-19"/>
          <w:sz w:val="21"/>
        </w:rPr>
        <w:t xml:space="preserve"> </w:t>
      </w:r>
      <w:r>
        <w:rPr>
          <w:spacing w:val="-2"/>
          <w:sz w:val="21"/>
        </w:rPr>
        <w:t>t</w:t>
      </w:r>
      <w:r>
        <w:rPr>
          <w:sz w:val="21"/>
        </w:rPr>
        <w:t>he</w:t>
      </w:r>
      <w:r>
        <w:rPr>
          <w:sz w:val="21"/>
        </w:rPr>
        <w:t xml:space="preserve">  </w:t>
      </w:r>
      <w:r>
        <w:rPr>
          <w:spacing w:val="-24"/>
          <w:sz w:val="21"/>
        </w:rPr>
        <w:t xml:space="preserve"> </w:t>
      </w:r>
      <w:r>
        <w:rPr>
          <w:spacing w:val="-3"/>
          <w:sz w:val="21"/>
        </w:rPr>
        <w:t>p</w:t>
      </w:r>
      <w:r>
        <w:rPr>
          <w:sz w:val="21"/>
        </w:rPr>
        <w:t>urpose</w:t>
      </w:r>
      <w:r>
        <w:rPr>
          <w:sz w:val="21"/>
        </w:rPr>
        <w:t xml:space="preserve">  </w:t>
      </w:r>
      <w:r>
        <w:rPr>
          <w:spacing w:val="-25"/>
          <w:sz w:val="21"/>
        </w:rPr>
        <w:t xml:space="preserve"> </w:t>
      </w:r>
      <w:r>
        <w:rPr>
          <w:spacing w:val="-3"/>
          <w:sz w:val="21"/>
        </w:rPr>
        <w:t>o</w:t>
      </w:r>
      <w:r>
        <w:rPr>
          <w:sz w:val="21"/>
        </w:rPr>
        <w:t xml:space="preserve">f </w:t>
      </w:r>
      <w:r>
        <w:rPr>
          <w:sz w:val="21"/>
        </w:rPr>
        <w:t>examining the legality or propriety or correctness of any order or decision of the Board referred to in the appeal filed under sub-section (1), either on its own motion or otherwise, call for the records relev</w:t>
      </w:r>
      <w:r>
        <w:rPr>
          <w:sz w:val="21"/>
        </w:rPr>
        <w:t>ant to disposing of such appeal and make such orders as it thinks</w:t>
      </w:r>
      <w:r>
        <w:rPr>
          <w:spacing w:val="-9"/>
          <w:sz w:val="21"/>
        </w:rPr>
        <w:t xml:space="preserve"> </w:t>
      </w:r>
      <w:r>
        <w:rPr>
          <w:sz w:val="21"/>
        </w:rPr>
        <w:t>fit.‖</w:t>
      </w:r>
    </w:p>
    <w:p w:rsidR="008215AB" w:rsidRDefault="008215AB">
      <w:pPr>
        <w:spacing w:line="276" w:lineRule="auto"/>
        <w:jc w:val="both"/>
        <w:rPr>
          <w:sz w:val="21"/>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5"/>
        <w:jc w:val="both"/>
      </w:pPr>
      <w:r>
        <w:t>An appeal lies to this Court against an order of the APTEL, other than an interlocutory order, under Section 37 on the grounds set out in Section 100 of the Code of C</w:t>
      </w:r>
      <w:r>
        <w:t>ivil Procedure 1908. With this background, we now turn to the PNGRB Act under the aegis of which the ninth round of CGD bidding occurred.</w:t>
      </w:r>
    </w:p>
    <w:p w:rsidR="008215AB" w:rsidRDefault="008215AB">
      <w:pPr>
        <w:pStyle w:val="BodyText"/>
        <w:spacing w:before="8"/>
        <w:rPr>
          <w:sz w:val="24"/>
        </w:rPr>
      </w:pPr>
    </w:p>
    <w:p w:rsidR="008215AB" w:rsidRDefault="006513FA">
      <w:pPr>
        <w:pStyle w:val="Heading1"/>
        <w:spacing w:before="1"/>
        <w:ind w:left="500"/>
        <w:jc w:val="both"/>
      </w:pPr>
      <w:r>
        <w:t>PNGRB Act and regulations</w:t>
      </w:r>
    </w:p>
    <w:p w:rsidR="008215AB" w:rsidRDefault="008215AB">
      <w:pPr>
        <w:pStyle w:val="BodyText"/>
        <w:spacing w:before="7"/>
        <w:rPr>
          <w:b/>
          <w:sz w:val="37"/>
        </w:rPr>
      </w:pPr>
    </w:p>
    <w:p w:rsidR="008215AB" w:rsidRDefault="006513FA">
      <w:pPr>
        <w:pStyle w:val="ListParagraph"/>
        <w:numPr>
          <w:ilvl w:val="0"/>
          <w:numId w:val="8"/>
        </w:numPr>
        <w:tabs>
          <w:tab w:val="left" w:pos="1220"/>
          <w:tab w:val="left" w:pos="1221"/>
        </w:tabs>
        <w:ind w:left="1220" w:right="0" w:hanging="721"/>
        <w:jc w:val="left"/>
        <w:rPr>
          <w:sz w:val="25"/>
        </w:rPr>
      </w:pPr>
      <w:r>
        <w:rPr>
          <w:sz w:val="25"/>
        </w:rPr>
        <w:t>The content of the PNGRB Act is summarised by its long title</w:t>
      </w:r>
      <w:r>
        <w:rPr>
          <w:spacing w:val="-15"/>
          <w:sz w:val="25"/>
        </w:rPr>
        <w:t xml:space="preserve"> </w:t>
      </w:r>
      <w:r>
        <w:rPr>
          <w:sz w:val="25"/>
        </w:rPr>
        <w:t>as:</w:t>
      </w:r>
    </w:p>
    <w:p w:rsidR="008215AB" w:rsidRDefault="008215AB">
      <w:pPr>
        <w:pStyle w:val="BodyText"/>
      </w:pPr>
    </w:p>
    <w:p w:rsidR="008215AB" w:rsidRDefault="006513FA">
      <w:pPr>
        <w:spacing w:line="276" w:lineRule="auto"/>
        <w:ind w:left="1940" w:right="1940"/>
        <w:jc w:val="both"/>
        <w:rPr>
          <w:sz w:val="21"/>
        </w:rPr>
      </w:pPr>
      <w:r>
        <w:rPr>
          <w:spacing w:val="-1"/>
          <w:w w:val="33"/>
          <w:sz w:val="21"/>
        </w:rPr>
        <w:t>―</w:t>
      </w:r>
      <w:r>
        <w:rPr>
          <w:sz w:val="21"/>
        </w:rPr>
        <w:t>An</w:t>
      </w:r>
      <w:r>
        <w:rPr>
          <w:sz w:val="21"/>
        </w:rPr>
        <w:t xml:space="preserve"> </w:t>
      </w:r>
      <w:r>
        <w:rPr>
          <w:spacing w:val="-12"/>
          <w:sz w:val="21"/>
        </w:rPr>
        <w:t xml:space="preserve"> </w:t>
      </w:r>
      <w:r>
        <w:rPr>
          <w:spacing w:val="-2"/>
          <w:sz w:val="21"/>
        </w:rPr>
        <w:t>A</w:t>
      </w:r>
      <w:r>
        <w:rPr>
          <w:sz w:val="21"/>
        </w:rPr>
        <w:t>ct</w:t>
      </w:r>
      <w:r>
        <w:rPr>
          <w:sz w:val="21"/>
        </w:rPr>
        <w:t xml:space="preserve"> </w:t>
      </w:r>
      <w:r>
        <w:rPr>
          <w:spacing w:val="-13"/>
          <w:sz w:val="21"/>
        </w:rPr>
        <w:t xml:space="preserve"> </w:t>
      </w:r>
      <w:r>
        <w:rPr>
          <w:spacing w:val="-2"/>
          <w:sz w:val="21"/>
        </w:rPr>
        <w:t>t</w:t>
      </w:r>
      <w:r>
        <w:rPr>
          <w:sz w:val="21"/>
        </w:rPr>
        <w:t>o</w:t>
      </w:r>
      <w:r>
        <w:rPr>
          <w:sz w:val="21"/>
        </w:rPr>
        <w:t xml:space="preserve"> </w:t>
      </w:r>
      <w:r>
        <w:rPr>
          <w:spacing w:val="-12"/>
          <w:sz w:val="21"/>
        </w:rPr>
        <w:t xml:space="preserve"> </w:t>
      </w:r>
      <w:r>
        <w:rPr>
          <w:spacing w:val="-1"/>
          <w:sz w:val="21"/>
        </w:rPr>
        <w:t>pro</w:t>
      </w:r>
      <w:r>
        <w:rPr>
          <w:spacing w:val="-3"/>
          <w:sz w:val="21"/>
        </w:rPr>
        <w:t>v</w:t>
      </w:r>
      <w:r>
        <w:rPr>
          <w:sz w:val="21"/>
        </w:rPr>
        <w:t>i</w:t>
      </w:r>
      <w:r>
        <w:rPr>
          <w:spacing w:val="-1"/>
          <w:sz w:val="21"/>
        </w:rPr>
        <w:t>d</w:t>
      </w:r>
      <w:r>
        <w:rPr>
          <w:sz w:val="21"/>
        </w:rPr>
        <w:t>e</w:t>
      </w:r>
      <w:r>
        <w:rPr>
          <w:sz w:val="21"/>
        </w:rPr>
        <w:t xml:space="preserve"> </w:t>
      </w:r>
      <w:r>
        <w:rPr>
          <w:spacing w:val="-14"/>
          <w:sz w:val="21"/>
        </w:rPr>
        <w:t xml:space="preserve"> </w:t>
      </w:r>
      <w:r>
        <w:rPr>
          <w:spacing w:val="1"/>
          <w:sz w:val="21"/>
        </w:rPr>
        <w:t>f</w:t>
      </w:r>
      <w:r>
        <w:rPr>
          <w:spacing w:val="-1"/>
          <w:sz w:val="21"/>
        </w:rPr>
        <w:t>o</w:t>
      </w:r>
      <w:r>
        <w:rPr>
          <w:sz w:val="21"/>
        </w:rPr>
        <w:t>r</w:t>
      </w:r>
      <w:r>
        <w:rPr>
          <w:sz w:val="21"/>
        </w:rPr>
        <w:t xml:space="preserve"> </w:t>
      </w:r>
      <w:r>
        <w:rPr>
          <w:spacing w:val="-12"/>
          <w:sz w:val="21"/>
        </w:rPr>
        <w:t xml:space="preserve"> </w:t>
      </w:r>
      <w:r>
        <w:rPr>
          <w:spacing w:val="-2"/>
          <w:sz w:val="21"/>
        </w:rPr>
        <w:t>t</w:t>
      </w:r>
      <w:r>
        <w:rPr>
          <w:spacing w:val="-3"/>
          <w:sz w:val="21"/>
        </w:rPr>
        <w:t>h</w:t>
      </w:r>
      <w:r>
        <w:rPr>
          <w:sz w:val="21"/>
        </w:rPr>
        <w:t>e</w:t>
      </w:r>
      <w:r>
        <w:rPr>
          <w:sz w:val="21"/>
        </w:rPr>
        <w:t xml:space="preserve"> </w:t>
      </w:r>
      <w:r>
        <w:rPr>
          <w:spacing w:val="-12"/>
          <w:sz w:val="21"/>
        </w:rPr>
        <w:t xml:space="preserve"> </w:t>
      </w:r>
      <w:r>
        <w:rPr>
          <w:spacing w:val="-1"/>
          <w:sz w:val="21"/>
        </w:rPr>
        <w:t>esta</w:t>
      </w:r>
      <w:r>
        <w:rPr>
          <w:spacing w:val="-3"/>
          <w:sz w:val="21"/>
        </w:rPr>
        <w:t>b</w:t>
      </w:r>
      <w:r>
        <w:rPr>
          <w:sz w:val="21"/>
        </w:rPr>
        <w:t>l</w:t>
      </w:r>
      <w:r>
        <w:rPr>
          <w:spacing w:val="-2"/>
          <w:sz w:val="21"/>
        </w:rPr>
        <w:t>i</w:t>
      </w:r>
      <w:r>
        <w:rPr>
          <w:sz w:val="21"/>
        </w:rPr>
        <w:t>s</w:t>
      </w:r>
      <w:r>
        <w:rPr>
          <w:spacing w:val="-3"/>
          <w:sz w:val="21"/>
        </w:rPr>
        <w:t>h</w:t>
      </w:r>
      <w:r>
        <w:rPr>
          <w:spacing w:val="1"/>
          <w:sz w:val="21"/>
        </w:rPr>
        <w:t>m</w:t>
      </w:r>
      <w:r>
        <w:rPr>
          <w:spacing w:val="-3"/>
          <w:sz w:val="21"/>
        </w:rPr>
        <w:t>e</w:t>
      </w:r>
      <w:r>
        <w:rPr>
          <w:spacing w:val="-1"/>
          <w:sz w:val="21"/>
        </w:rPr>
        <w:t>n</w:t>
      </w:r>
      <w:r>
        <w:rPr>
          <w:sz w:val="21"/>
        </w:rPr>
        <w:t>t</w:t>
      </w:r>
      <w:r>
        <w:rPr>
          <w:sz w:val="21"/>
        </w:rPr>
        <w:t xml:space="preserve"> </w:t>
      </w:r>
      <w:r>
        <w:rPr>
          <w:spacing w:val="-13"/>
          <w:sz w:val="21"/>
        </w:rPr>
        <w:t xml:space="preserve"> </w:t>
      </w:r>
      <w:r>
        <w:rPr>
          <w:spacing w:val="-1"/>
          <w:sz w:val="21"/>
        </w:rPr>
        <w:t>o</w:t>
      </w:r>
      <w:r>
        <w:rPr>
          <w:sz w:val="21"/>
        </w:rPr>
        <w:t>f</w:t>
      </w:r>
      <w:r>
        <w:rPr>
          <w:sz w:val="21"/>
        </w:rPr>
        <w:t xml:space="preserve"> </w:t>
      </w:r>
      <w:r>
        <w:rPr>
          <w:spacing w:val="-13"/>
          <w:sz w:val="21"/>
        </w:rPr>
        <w:t xml:space="preserve"> </w:t>
      </w:r>
      <w:r>
        <w:rPr>
          <w:sz w:val="21"/>
        </w:rPr>
        <w:t>P</w:t>
      </w:r>
      <w:r>
        <w:rPr>
          <w:spacing w:val="-1"/>
          <w:sz w:val="21"/>
        </w:rPr>
        <w:t>etr</w:t>
      </w:r>
      <w:r>
        <w:rPr>
          <w:spacing w:val="-3"/>
          <w:sz w:val="21"/>
        </w:rPr>
        <w:t>o</w:t>
      </w:r>
      <w:r>
        <w:rPr>
          <w:spacing w:val="-2"/>
          <w:sz w:val="21"/>
        </w:rPr>
        <w:t>l</w:t>
      </w:r>
      <w:r>
        <w:rPr>
          <w:spacing w:val="-1"/>
          <w:sz w:val="21"/>
        </w:rPr>
        <w:t>e</w:t>
      </w:r>
      <w:r>
        <w:rPr>
          <w:spacing w:val="-3"/>
          <w:sz w:val="21"/>
        </w:rPr>
        <w:t>u</w:t>
      </w:r>
      <w:r>
        <w:rPr>
          <w:sz w:val="21"/>
        </w:rPr>
        <w:t>m</w:t>
      </w:r>
      <w:r>
        <w:rPr>
          <w:sz w:val="21"/>
        </w:rPr>
        <w:t xml:space="preserve"> </w:t>
      </w:r>
      <w:r>
        <w:rPr>
          <w:spacing w:val="-10"/>
          <w:sz w:val="21"/>
        </w:rPr>
        <w:t xml:space="preserve"> </w:t>
      </w:r>
      <w:r>
        <w:rPr>
          <w:spacing w:val="-1"/>
          <w:sz w:val="21"/>
        </w:rPr>
        <w:t>a</w:t>
      </w:r>
      <w:r>
        <w:rPr>
          <w:spacing w:val="-3"/>
          <w:sz w:val="21"/>
        </w:rPr>
        <w:t>n</w:t>
      </w:r>
      <w:r>
        <w:rPr>
          <w:sz w:val="21"/>
        </w:rPr>
        <w:t xml:space="preserve">d </w:t>
      </w:r>
      <w:r>
        <w:rPr>
          <w:sz w:val="21"/>
        </w:rPr>
        <w:t>Natural Gas Regulatory Board to regulate the refining, processing, storage, transportation, distribution, marketing and sale of petroleum, petroleum products and natural gas excluding production of crude oil and natural gas so as to protect the interests o</w:t>
      </w:r>
      <w:r>
        <w:rPr>
          <w:sz w:val="21"/>
        </w:rPr>
        <w:t>f consumers and entities engaged in specified activities relating to petroleum, petroleum products and natural gas and to ensure uninterrupted and adequate supply of petroleum, petroleum products and natural gas in all parts of the country and to promote c</w:t>
      </w:r>
      <w:r>
        <w:rPr>
          <w:sz w:val="21"/>
        </w:rPr>
        <w:t>ompetitive markets and for matters connected therewith or incidental</w:t>
      </w:r>
      <w:r>
        <w:rPr>
          <w:spacing w:val="-23"/>
          <w:sz w:val="21"/>
        </w:rPr>
        <w:t xml:space="preserve"> </w:t>
      </w:r>
      <w:r>
        <w:rPr>
          <w:sz w:val="21"/>
        </w:rPr>
        <w:t>thereto.‖</w:t>
      </w:r>
    </w:p>
    <w:p w:rsidR="008215AB" w:rsidRDefault="008215AB">
      <w:pPr>
        <w:pStyle w:val="BodyText"/>
        <w:rPr>
          <w:sz w:val="24"/>
        </w:rPr>
      </w:pPr>
    </w:p>
    <w:p w:rsidR="008215AB" w:rsidRDefault="006513FA">
      <w:pPr>
        <w:pStyle w:val="BodyText"/>
        <w:spacing w:before="209" w:line="480" w:lineRule="auto"/>
        <w:ind w:left="500" w:right="117"/>
        <w:jc w:val="both"/>
      </w:pPr>
      <w:r>
        <w:t>The PNGRB Act came into force, in terms of the provisions contained in Section 1(3) on 1 October 2007, save and except for Section 16. Section 16 which provides for the authori</w:t>
      </w:r>
      <w:r>
        <w:t>sation for building or expanding CGD Networks, came into force on 15 July 2010. Section 16, insofar as is material contains the following stipulations:</w:t>
      </w:r>
    </w:p>
    <w:p w:rsidR="008215AB" w:rsidRDefault="006513FA">
      <w:pPr>
        <w:ind w:left="1940"/>
        <w:jc w:val="both"/>
        <w:rPr>
          <w:sz w:val="21"/>
        </w:rPr>
      </w:pPr>
      <w:r>
        <w:rPr>
          <w:spacing w:val="-1"/>
          <w:w w:val="33"/>
          <w:sz w:val="21"/>
        </w:rPr>
        <w:t>―</w:t>
      </w:r>
      <w:r>
        <w:rPr>
          <w:b/>
          <w:sz w:val="21"/>
        </w:rPr>
        <w:t>16.</w:t>
      </w:r>
      <w:r>
        <w:rPr>
          <w:b/>
          <w:sz w:val="21"/>
        </w:rPr>
        <w:t xml:space="preserve"> </w:t>
      </w:r>
      <w:r>
        <w:rPr>
          <w:b/>
          <w:spacing w:val="-7"/>
          <w:sz w:val="21"/>
        </w:rPr>
        <w:t>A</w:t>
      </w:r>
      <w:r>
        <w:rPr>
          <w:b/>
          <w:sz w:val="21"/>
        </w:rPr>
        <w:t>uthor</w:t>
      </w:r>
      <w:r>
        <w:rPr>
          <w:b/>
          <w:spacing w:val="-2"/>
          <w:sz w:val="21"/>
        </w:rPr>
        <w:t>i</w:t>
      </w:r>
      <w:r>
        <w:rPr>
          <w:b/>
          <w:sz w:val="21"/>
        </w:rPr>
        <w:t>sat</w:t>
      </w:r>
      <w:r>
        <w:rPr>
          <w:b/>
          <w:spacing w:val="-2"/>
          <w:sz w:val="21"/>
        </w:rPr>
        <w:t>i</w:t>
      </w:r>
      <w:r>
        <w:rPr>
          <w:b/>
          <w:sz w:val="21"/>
        </w:rPr>
        <w:t>o</w:t>
      </w:r>
      <w:r>
        <w:rPr>
          <w:b/>
          <w:spacing w:val="2"/>
          <w:sz w:val="21"/>
        </w:rPr>
        <w:t>n</w:t>
      </w:r>
      <w:r>
        <w:rPr>
          <w:spacing w:val="-2"/>
          <w:sz w:val="21"/>
        </w:rPr>
        <w:t>.</w:t>
      </w:r>
      <w:r>
        <w:rPr>
          <w:spacing w:val="-3"/>
          <w:sz w:val="21"/>
        </w:rPr>
        <w:t>—</w:t>
      </w:r>
      <w:r>
        <w:rPr>
          <w:sz w:val="21"/>
        </w:rPr>
        <w:t>No</w:t>
      </w:r>
      <w:r>
        <w:rPr>
          <w:spacing w:val="-4"/>
          <w:sz w:val="21"/>
        </w:rPr>
        <w:t xml:space="preserve"> </w:t>
      </w:r>
      <w:r>
        <w:rPr>
          <w:sz w:val="21"/>
        </w:rPr>
        <w:t>en</w:t>
      </w:r>
      <w:r>
        <w:rPr>
          <w:spacing w:val="-1"/>
          <w:sz w:val="21"/>
        </w:rPr>
        <w:t>t</w:t>
      </w:r>
      <w:r>
        <w:rPr>
          <w:sz w:val="21"/>
        </w:rPr>
        <w:t>i</w:t>
      </w:r>
      <w:r>
        <w:rPr>
          <w:spacing w:val="-2"/>
          <w:sz w:val="21"/>
        </w:rPr>
        <w:t>t</w:t>
      </w:r>
      <w:r>
        <w:rPr>
          <w:sz w:val="21"/>
        </w:rPr>
        <w:t>y</w:t>
      </w:r>
      <w:r>
        <w:rPr>
          <w:spacing w:val="-4"/>
          <w:sz w:val="21"/>
        </w:rPr>
        <w:t xml:space="preserve"> </w:t>
      </w:r>
      <w:r>
        <w:rPr>
          <w:sz w:val="21"/>
        </w:rPr>
        <w:t>sha</w:t>
      </w:r>
      <w:r>
        <w:rPr>
          <w:spacing w:val="-1"/>
          <w:sz w:val="21"/>
        </w:rPr>
        <w:t>l</w:t>
      </w:r>
      <w:r>
        <w:rPr>
          <w:spacing w:val="1"/>
          <w:sz w:val="21"/>
        </w:rPr>
        <w:t>l</w:t>
      </w:r>
      <w:r>
        <w:rPr>
          <w:sz w:val="21"/>
        </w:rPr>
        <w:t>—</w:t>
      </w:r>
    </w:p>
    <w:p w:rsidR="008215AB" w:rsidRDefault="006513FA">
      <w:pPr>
        <w:pStyle w:val="ListParagraph"/>
        <w:numPr>
          <w:ilvl w:val="0"/>
          <w:numId w:val="7"/>
        </w:numPr>
        <w:tabs>
          <w:tab w:val="left" w:pos="2286"/>
        </w:tabs>
        <w:spacing w:before="37" w:line="273" w:lineRule="auto"/>
        <w:ind w:right="1946" w:firstLine="0"/>
        <w:jc w:val="both"/>
        <w:rPr>
          <w:sz w:val="21"/>
        </w:rPr>
      </w:pPr>
      <w:r>
        <w:rPr>
          <w:sz w:val="21"/>
        </w:rPr>
        <w:t>lay, build, operate or expand any pipeline as a common carrier or contract</w:t>
      </w:r>
      <w:r>
        <w:rPr>
          <w:spacing w:val="-6"/>
          <w:sz w:val="21"/>
        </w:rPr>
        <w:t xml:space="preserve"> </w:t>
      </w:r>
      <w:r>
        <w:rPr>
          <w:sz w:val="21"/>
        </w:rPr>
        <w:t>carrier,</w:t>
      </w:r>
    </w:p>
    <w:p w:rsidR="008215AB" w:rsidRDefault="006513FA">
      <w:pPr>
        <w:pStyle w:val="ListParagraph"/>
        <w:numPr>
          <w:ilvl w:val="0"/>
          <w:numId w:val="7"/>
        </w:numPr>
        <w:tabs>
          <w:tab w:val="left" w:pos="2274"/>
        </w:tabs>
        <w:spacing w:before="4" w:line="276" w:lineRule="auto"/>
        <w:ind w:right="1940" w:firstLine="0"/>
        <w:jc w:val="both"/>
        <w:rPr>
          <w:sz w:val="21"/>
        </w:rPr>
      </w:pPr>
      <w:r>
        <w:rPr>
          <w:sz w:val="21"/>
        </w:rPr>
        <w:t>lay, build, operate or expand any city or local natural gas distribution network, without obtaining authorisation under this Act: …</w:t>
      </w:r>
      <w:r>
        <w:rPr>
          <w:spacing w:val="-4"/>
          <w:sz w:val="21"/>
        </w:rPr>
        <w:t xml:space="preserve"> </w:t>
      </w:r>
      <w:r>
        <w:rPr>
          <w:sz w:val="21"/>
        </w:rPr>
        <w:t>‖</w:t>
      </w:r>
    </w:p>
    <w:p w:rsidR="008215AB" w:rsidRDefault="008215AB">
      <w:pPr>
        <w:pStyle w:val="BodyText"/>
        <w:rPr>
          <w:sz w:val="24"/>
        </w:rPr>
      </w:pPr>
    </w:p>
    <w:p w:rsidR="008215AB" w:rsidRDefault="008215AB">
      <w:pPr>
        <w:pStyle w:val="BodyText"/>
        <w:spacing w:before="7"/>
        <w:rPr>
          <w:sz w:val="28"/>
        </w:rPr>
      </w:pPr>
    </w:p>
    <w:p w:rsidR="008215AB" w:rsidRDefault="006513FA">
      <w:pPr>
        <w:pStyle w:val="BodyText"/>
        <w:spacing w:line="480" w:lineRule="auto"/>
        <w:ind w:left="500" w:right="119"/>
        <w:jc w:val="both"/>
      </w:pPr>
      <w:r>
        <w:t>Under Section 19 of the PNGRB Act, t</w:t>
      </w:r>
      <w:r>
        <w:t>he Board may grant an authorisation for a city or local natural gas distribution network either on the basis of an application</w:t>
      </w:r>
    </w:p>
    <w:p w:rsidR="008215AB" w:rsidRDefault="008215AB">
      <w:pPr>
        <w:spacing w:line="480" w:lineRule="auto"/>
        <w:jc w:val="both"/>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20"/>
        <w:jc w:val="both"/>
      </w:pPr>
      <w:r>
        <w:t xml:space="preserve">or </w:t>
      </w:r>
      <w:r>
        <w:rPr>
          <w:i/>
        </w:rPr>
        <w:t>suo moto</w:t>
      </w:r>
      <w:r>
        <w:t>. Before it does so in a specified GA, the Board is under a mandate to give wide publicity of its in</w:t>
      </w:r>
      <w:r>
        <w:t xml:space="preserve">tent to do so. Upon inviting applications from interested </w:t>
      </w:r>
      <w:r>
        <w:rPr>
          <w:w w:val="99"/>
        </w:rPr>
        <w:t>parties,</w:t>
      </w:r>
      <w:r>
        <w:t xml:space="preserve"> </w:t>
      </w:r>
      <w:r>
        <w:rPr>
          <w:w w:val="99"/>
        </w:rPr>
        <w:t>the</w:t>
      </w:r>
      <w:r>
        <w:t xml:space="preserve"> </w:t>
      </w:r>
      <w:r>
        <w:rPr>
          <w:w w:val="99"/>
        </w:rPr>
        <w:t>Board</w:t>
      </w:r>
      <w:r>
        <w:t xml:space="preserve"> </w:t>
      </w:r>
      <w:r>
        <w:rPr>
          <w:w w:val="99"/>
        </w:rPr>
        <w:t>may</w:t>
      </w:r>
      <w:r>
        <w:t xml:space="preserve"> </w:t>
      </w:r>
      <w:r>
        <w:rPr>
          <w:w w:val="99"/>
        </w:rPr>
        <w:t>select</w:t>
      </w:r>
      <w:r>
        <w:t xml:space="preserve"> </w:t>
      </w:r>
      <w:r>
        <w:rPr>
          <w:w w:val="99"/>
        </w:rPr>
        <w:t>an</w:t>
      </w:r>
      <w:r>
        <w:t xml:space="preserve"> </w:t>
      </w:r>
      <w:r>
        <w:rPr>
          <w:w w:val="99"/>
        </w:rPr>
        <w:t>entity</w:t>
      </w:r>
      <w:r>
        <w:t xml:space="preserve"> </w:t>
      </w:r>
      <w:r>
        <w:rPr>
          <w:w w:val="33"/>
        </w:rPr>
        <w:t>―</w:t>
      </w:r>
      <w:r>
        <w:rPr>
          <w:w w:val="99"/>
        </w:rPr>
        <w:t>in</w:t>
      </w:r>
      <w:r>
        <w:t xml:space="preserve"> </w:t>
      </w:r>
      <w:r>
        <w:rPr>
          <w:w w:val="99"/>
        </w:rPr>
        <w:t>an</w:t>
      </w:r>
      <w:r>
        <w:t xml:space="preserve"> </w:t>
      </w:r>
      <w:r>
        <w:rPr>
          <w:w w:val="99"/>
        </w:rPr>
        <w:t>objective</w:t>
      </w:r>
      <w:r>
        <w:t xml:space="preserve"> </w:t>
      </w:r>
      <w:r>
        <w:rPr>
          <w:w w:val="99"/>
        </w:rPr>
        <w:t>and</w:t>
      </w:r>
      <w:r>
        <w:t xml:space="preserve"> </w:t>
      </w:r>
      <w:r>
        <w:rPr>
          <w:w w:val="99"/>
        </w:rPr>
        <w:t>transparent</w:t>
      </w:r>
      <w:r>
        <w:t xml:space="preserve"> </w:t>
      </w:r>
      <w:r>
        <w:rPr>
          <w:w w:val="99"/>
        </w:rPr>
        <w:t xml:space="preserve">manner </w:t>
      </w:r>
      <w:r>
        <w:t>as specified by regulations for such activities‖.</w:t>
      </w:r>
    </w:p>
    <w:p w:rsidR="008215AB" w:rsidRDefault="008215AB">
      <w:pPr>
        <w:pStyle w:val="BodyText"/>
        <w:spacing w:before="11"/>
        <w:rPr>
          <w:sz w:val="24"/>
        </w:rPr>
      </w:pPr>
    </w:p>
    <w:p w:rsidR="008215AB" w:rsidRDefault="006513FA">
      <w:pPr>
        <w:pStyle w:val="ListParagraph"/>
        <w:numPr>
          <w:ilvl w:val="0"/>
          <w:numId w:val="8"/>
        </w:numPr>
        <w:tabs>
          <w:tab w:val="left" w:pos="1221"/>
        </w:tabs>
        <w:spacing w:line="480" w:lineRule="auto"/>
        <w:ind w:right="116" w:firstLine="0"/>
        <w:jc w:val="both"/>
        <w:rPr>
          <w:sz w:val="25"/>
        </w:rPr>
      </w:pPr>
      <w:r>
        <w:rPr>
          <w:sz w:val="25"/>
        </w:rPr>
        <w:t>On 19 March 2008, the Petroleum and Natural Gas Regulatory Board (Authorizing Entities to Lay, Build, Operate or Expand City or Local Natural Gas Distribution Networks) Regulations 2008</w:t>
      </w:r>
      <w:r>
        <w:rPr>
          <w:sz w:val="25"/>
          <w:vertAlign w:val="superscript"/>
        </w:rPr>
        <w:t>6</w:t>
      </w:r>
      <w:r>
        <w:rPr>
          <w:sz w:val="25"/>
        </w:rPr>
        <w:t xml:space="preserve"> were notified. The CGD Authorisation Regulations were amended on 21 J</w:t>
      </w:r>
      <w:r>
        <w:rPr>
          <w:sz w:val="25"/>
        </w:rPr>
        <w:t>une 2013, 7 April 2014 and 6 April 2018. The CGD Authorisation Regulations, as amended in 2018, substituted new criteria for bidding which applied to the ninth round of bidding with which the present batch of appeals is</w:t>
      </w:r>
      <w:r>
        <w:rPr>
          <w:spacing w:val="-1"/>
          <w:sz w:val="25"/>
        </w:rPr>
        <w:t xml:space="preserve"> </w:t>
      </w:r>
      <w:r>
        <w:rPr>
          <w:sz w:val="25"/>
        </w:rPr>
        <w:t>concerned.</w:t>
      </w:r>
    </w:p>
    <w:p w:rsidR="008215AB" w:rsidRDefault="008215AB">
      <w:pPr>
        <w:pStyle w:val="BodyText"/>
        <w:spacing w:before="1"/>
      </w:pPr>
    </w:p>
    <w:p w:rsidR="008215AB" w:rsidRDefault="006513FA">
      <w:pPr>
        <w:pStyle w:val="ListParagraph"/>
        <w:numPr>
          <w:ilvl w:val="0"/>
          <w:numId w:val="8"/>
        </w:numPr>
        <w:tabs>
          <w:tab w:val="left" w:pos="1221"/>
        </w:tabs>
        <w:spacing w:before="1" w:line="480" w:lineRule="auto"/>
        <w:ind w:right="115" w:firstLine="0"/>
        <w:jc w:val="both"/>
        <w:rPr>
          <w:sz w:val="25"/>
        </w:rPr>
      </w:pPr>
      <w:r>
        <w:rPr>
          <w:sz w:val="25"/>
        </w:rPr>
        <w:t xml:space="preserve">Regulation 6 of the CGD </w:t>
      </w:r>
      <w:r>
        <w:rPr>
          <w:sz w:val="25"/>
        </w:rPr>
        <w:t>Authorisation Regulations provides for the invitation by the Board for laying, building, operating or expanding of a CGD network in a specific city or GA. The procedure stipulated in Regulation 5 is to apply, except for those aspects relating to expression</w:t>
      </w:r>
      <w:r>
        <w:rPr>
          <w:sz w:val="25"/>
        </w:rPr>
        <w:t>s of interest. Under Regulation 5(6), the Board can scrutinise only those bids which are received in response to an advertisement and from entities which fulfil certain minimum eligibility criteria. Regulation 5(6)(b) spells out the criteria, which are des</w:t>
      </w:r>
      <w:r>
        <w:rPr>
          <w:sz w:val="25"/>
        </w:rPr>
        <w:t xml:space="preserve">igned to ensure that the entity bidding is technically capable of </w:t>
      </w:r>
      <w:r>
        <w:rPr>
          <w:i/>
          <w:sz w:val="25"/>
        </w:rPr>
        <w:t xml:space="preserve">laying and building </w:t>
      </w:r>
      <w:r>
        <w:rPr>
          <w:sz w:val="25"/>
        </w:rPr>
        <w:t>a CGD network in the relevant city or GA. Regulation 5(6)(c) enunciates criteria which ensure</w:t>
      </w:r>
      <w:r>
        <w:rPr>
          <w:spacing w:val="15"/>
          <w:sz w:val="25"/>
        </w:rPr>
        <w:t xml:space="preserve"> </w:t>
      </w:r>
      <w:r>
        <w:rPr>
          <w:sz w:val="25"/>
        </w:rPr>
        <w:t>that</w:t>
      </w:r>
      <w:r>
        <w:rPr>
          <w:spacing w:val="15"/>
          <w:sz w:val="25"/>
        </w:rPr>
        <w:t xml:space="preserve"> </w:t>
      </w:r>
      <w:r>
        <w:rPr>
          <w:sz w:val="25"/>
        </w:rPr>
        <w:t>the</w:t>
      </w:r>
      <w:r>
        <w:rPr>
          <w:spacing w:val="16"/>
          <w:sz w:val="25"/>
        </w:rPr>
        <w:t xml:space="preserve"> </w:t>
      </w:r>
      <w:r>
        <w:rPr>
          <w:sz w:val="25"/>
        </w:rPr>
        <w:t>entity</w:t>
      </w:r>
      <w:r>
        <w:rPr>
          <w:spacing w:val="13"/>
          <w:sz w:val="25"/>
        </w:rPr>
        <w:t xml:space="preserve"> </w:t>
      </w:r>
      <w:r>
        <w:rPr>
          <w:sz w:val="25"/>
        </w:rPr>
        <w:t>is</w:t>
      </w:r>
      <w:r>
        <w:rPr>
          <w:spacing w:val="15"/>
          <w:sz w:val="25"/>
        </w:rPr>
        <w:t xml:space="preserve"> </w:t>
      </w:r>
      <w:r>
        <w:rPr>
          <w:sz w:val="25"/>
        </w:rPr>
        <w:t>technically</w:t>
      </w:r>
      <w:r>
        <w:rPr>
          <w:spacing w:val="15"/>
          <w:sz w:val="25"/>
        </w:rPr>
        <w:t xml:space="preserve"> </w:t>
      </w:r>
      <w:r>
        <w:rPr>
          <w:sz w:val="25"/>
        </w:rPr>
        <w:t>capable</w:t>
      </w:r>
      <w:r>
        <w:rPr>
          <w:spacing w:val="20"/>
          <w:sz w:val="25"/>
        </w:rPr>
        <w:t xml:space="preserve"> </w:t>
      </w:r>
      <w:r>
        <w:rPr>
          <w:sz w:val="25"/>
        </w:rPr>
        <w:t>of</w:t>
      </w:r>
      <w:r>
        <w:rPr>
          <w:spacing w:val="16"/>
          <w:sz w:val="25"/>
        </w:rPr>
        <w:t xml:space="preserve"> </w:t>
      </w:r>
      <w:r>
        <w:rPr>
          <w:i/>
          <w:sz w:val="25"/>
        </w:rPr>
        <w:t>operating</w:t>
      </w:r>
      <w:r>
        <w:rPr>
          <w:i/>
          <w:spacing w:val="16"/>
          <w:sz w:val="25"/>
        </w:rPr>
        <w:t xml:space="preserve"> </w:t>
      </w:r>
      <w:r>
        <w:rPr>
          <w:i/>
          <w:sz w:val="25"/>
        </w:rPr>
        <w:t>and</w:t>
      </w:r>
      <w:r>
        <w:rPr>
          <w:i/>
          <w:spacing w:val="16"/>
          <w:sz w:val="25"/>
        </w:rPr>
        <w:t xml:space="preserve"> </w:t>
      </w:r>
      <w:r>
        <w:rPr>
          <w:i/>
          <w:sz w:val="25"/>
        </w:rPr>
        <w:t>maintaining</w:t>
      </w:r>
      <w:r>
        <w:rPr>
          <w:i/>
          <w:spacing w:val="19"/>
          <w:sz w:val="25"/>
        </w:rPr>
        <w:t xml:space="preserve"> </w:t>
      </w:r>
      <w:r>
        <w:rPr>
          <w:sz w:val="25"/>
        </w:rPr>
        <w:t>a</w:t>
      </w:r>
      <w:r>
        <w:rPr>
          <w:spacing w:val="15"/>
          <w:sz w:val="25"/>
        </w:rPr>
        <w:t xml:space="preserve"> </w:t>
      </w:r>
      <w:r>
        <w:rPr>
          <w:sz w:val="25"/>
        </w:rPr>
        <w:t>CGD</w:t>
      </w:r>
    </w:p>
    <w:p w:rsidR="008215AB" w:rsidRDefault="008215AB">
      <w:pPr>
        <w:pStyle w:val="BodyText"/>
        <w:rPr>
          <w:sz w:val="20"/>
        </w:rPr>
      </w:pPr>
    </w:p>
    <w:p w:rsidR="008215AB" w:rsidRDefault="008215AB">
      <w:pPr>
        <w:pStyle w:val="BodyText"/>
        <w:rPr>
          <w:sz w:val="20"/>
        </w:rPr>
      </w:pPr>
    </w:p>
    <w:p w:rsidR="008215AB" w:rsidRDefault="008215AB">
      <w:pPr>
        <w:pStyle w:val="BodyText"/>
        <w:rPr>
          <w:sz w:val="20"/>
        </w:rPr>
      </w:pPr>
    </w:p>
    <w:p w:rsidR="008215AB" w:rsidRDefault="008215AB">
      <w:pPr>
        <w:pStyle w:val="BodyText"/>
        <w:spacing w:before="3"/>
        <w:rPr>
          <w:sz w:val="22"/>
        </w:rPr>
      </w:pPr>
      <w:r w:rsidRPr="008215AB">
        <w:pict>
          <v:rect id="_x0000_s2059" style="position:absolute;margin-left:1in;margin-top:14.75pt;width:2in;height:.6pt;z-index:-15727104;mso-wrap-distance-left:0;mso-wrap-distance-right:0;mso-position-horizontal-relative:page" fillcolor="black" stroked="f">
            <w10:wrap type="topAndBottom" anchorx="page"/>
          </v:rect>
        </w:pict>
      </w:r>
    </w:p>
    <w:p w:rsidR="008215AB" w:rsidRDefault="006513FA">
      <w:pPr>
        <w:spacing w:before="80"/>
        <w:ind w:left="500"/>
        <w:rPr>
          <w:sz w:val="18"/>
        </w:rPr>
      </w:pPr>
      <w:r>
        <w:rPr>
          <w:sz w:val="18"/>
          <w:vertAlign w:val="superscript"/>
        </w:rPr>
        <w:t>6</w:t>
      </w:r>
      <w:r>
        <w:rPr>
          <w:sz w:val="18"/>
        </w:rPr>
        <w:t xml:space="preserve"> ―CGD Authorisation Regulations‖</w:t>
      </w:r>
    </w:p>
    <w:p w:rsidR="008215AB" w:rsidRDefault="008215AB">
      <w:pPr>
        <w:rPr>
          <w:sz w:val="18"/>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pPr>
      <w:r>
        <w:t>network. Besides the technical criteria, the Regulations also spell out certain financial criteria which potential bidders must satisfy. Regulation 5(6)(e) provides:</w:t>
      </w:r>
    </w:p>
    <w:p w:rsidR="008215AB" w:rsidRDefault="006513FA">
      <w:pPr>
        <w:ind w:left="1940" w:right="1944"/>
        <w:jc w:val="both"/>
        <w:rPr>
          <w:sz w:val="21"/>
        </w:rPr>
      </w:pPr>
      <w:r>
        <w:rPr>
          <w:spacing w:val="-1"/>
          <w:w w:val="33"/>
          <w:sz w:val="21"/>
        </w:rPr>
        <w:t>―</w:t>
      </w:r>
      <w:r>
        <w:rPr>
          <w:spacing w:val="-1"/>
          <w:sz w:val="21"/>
        </w:rPr>
        <w:t>(6</w:t>
      </w:r>
      <w:r>
        <w:rPr>
          <w:sz w:val="21"/>
        </w:rPr>
        <w:t>)</w:t>
      </w:r>
      <w:r>
        <w:rPr>
          <w:sz w:val="21"/>
        </w:rPr>
        <w:t xml:space="preserve">      </w:t>
      </w:r>
      <w:r>
        <w:rPr>
          <w:spacing w:val="-16"/>
          <w:sz w:val="21"/>
        </w:rPr>
        <w:t xml:space="preserve"> </w:t>
      </w:r>
      <w:r>
        <w:rPr>
          <w:sz w:val="21"/>
        </w:rPr>
        <w:t>The</w:t>
      </w:r>
      <w:r>
        <w:rPr>
          <w:sz w:val="21"/>
        </w:rPr>
        <w:t xml:space="preserve">  </w:t>
      </w:r>
      <w:r>
        <w:rPr>
          <w:spacing w:val="-12"/>
          <w:sz w:val="21"/>
        </w:rPr>
        <w:t xml:space="preserve"> </w:t>
      </w:r>
      <w:r>
        <w:rPr>
          <w:sz w:val="21"/>
        </w:rPr>
        <w:t>Board</w:t>
      </w:r>
      <w:r>
        <w:rPr>
          <w:sz w:val="21"/>
        </w:rPr>
        <w:t xml:space="preserve">  </w:t>
      </w:r>
      <w:r>
        <w:rPr>
          <w:spacing w:val="-10"/>
          <w:sz w:val="21"/>
        </w:rPr>
        <w:t xml:space="preserve"> </w:t>
      </w:r>
      <w:r>
        <w:rPr>
          <w:spacing w:val="-3"/>
          <w:sz w:val="21"/>
        </w:rPr>
        <w:t>s</w:t>
      </w:r>
      <w:r>
        <w:rPr>
          <w:sz w:val="21"/>
        </w:rPr>
        <w:t>h</w:t>
      </w:r>
      <w:r>
        <w:rPr>
          <w:spacing w:val="-3"/>
          <w:sz w:val="21"/>
        </w:rPr>
        <w:t>a</w:t>
      </w:r>
      <w:r>
        <w:rPr>
          <w:sz w:val="21"/>
        </w:rPr>
        <w:t>ll</w:t>
      </w:r>
      <w:r>
        <w:rPr>
          <w:sz w:val="21"/>
        </w:rPr>
        <w:t xml:space="preserve">  </w:t>
      </w:r>
      <w:r>
        <w:rPr>
          <w:spacing w:val="-9"/>
          <w:sz w:val="21"/>
        </w:rPr>
        <w:t xml:space="preserve"> </w:t>
      </w:r>
      <w:r>
        <w:rPr>
          <w:sz w:val="21"/>
        </w:rPr>
        <w:t>sc</w:t>
      </w:r>
      <w:r>
        <w:rPr>
          <w:spacing w:val="-1"/>
          <w:sz w:val="21"/>
        </w:rPr>
        <w:t>r</w:t>
      </w:r>
      <w:r>
        <w:rPr>
          <w:sz w:val="21"/>
        </w:rPr>
        <w:t>u</w:t>
      </w:r>
      <w:r>
        <w:rPr>
          <w:spacing w:val="-4"/>
          <w:sz w:val="21"/>
        </w:rPr>
        <w:t>t</w:t>
      </w:r>
      <w:r>
        <w:rPr>
          <w:spacing w:val="-2"/>
          <w:sz w:val="21"/>
        </w:rPr>
        <w:t>i</w:t>
      </w:r>
      <w:r>
        <w:rPr>
          <w:sz w:val="21"/>
        </w:rPr>
        <w:t>n</w:t>
      </w:r>
      <w:r>
        <w:rPr>
          <w:spacing w:val="1"/>
          <w:sz w:val="21"/>
        </w:rPr>
        <w:t>i</w:t>
      </w:r>
      <w:r>
        <w:rPr>
          <w:sz w:val="21"/>
        </w:rPr>
        <w:t>se</w:t>
      </w:r>
      <w:r>
        <w:rPr>
          <w:sz w:val="21"/>
        </w:rPr>
        <w:t xml:space="preserve">  </w:t>
      </w:r>
      <w:r>
        <w:rPr>
          <w:spacing w:val="-10"/>
          <w:sz w:val="21"/>
        </w:rPr>
        <w:t xml:space="preserve"> </w:t>
      </w:r>
      <w:r>
        <w:rPr>
          <w:spacing w:val="-2"/>
          <w:sz w:val="21"/>
        </w:rPr>
        <w:t>t</w:t>
      </w:r>
      <w:r>
        <w:rPr>
          <w:spacing w:val="-3"/>
          <w:sz w:val="21"/>
        </w:rPr>
        <w:t>h</w:t>
      </w:r>
      <w:r>
        <w:rPr>
          <w:sz w:val="21"/>
        </w:rPr>
        <w:t>e</w:t>
      </w:r>
      <w:r>
        <w:rPr>
          <w:sz w:val="21"/>
        </w:rPr>
        <w:t xml:space="preserve">  </w:t>
      </w:r>
      <w:r>
        <w:rPr>
          <w:spacing w:val="-10"/>
          <w:sz w:val="21"/>
        </w:rPr>
        <w:t xml:space="preserve"> </w:t>
      </w:r>
      <w:r>
        <w:rPr>
          <w:sz w:val="21"/>
        </w:rPr>
        <w:t>b</w:t>
      </w:r>
      <w:r>
        <w:rPr>
          <w:spacing w:val="1"/>
          <w:sz w:val="21"/>
        </w:rPr>
        <w:t>i</w:t>
      </w:r>
      <w:r>
        <w:rPr>
          <w:spacing w:val="-3"/>
          <w:sz w:val="21"/>
        </w:rPr>
        <w:t>d</w:t>
      </w:r>
      <w:r>
        <w:rPr>
          <w:sz w:val="21"/>
        </w:rPr>
        <w:t>s</w:t>
      </w:r>
      <w:r>
        <w:rPr>
          <w:sz w:val="21"/>
        </w:rPr>
        <w:t xml:space="preserve">  </w:t>
      </w:r>
      <w:r>
        <w:rPr>
          <w:spacing w:val="-10"/>
          <w:sz w:val="21"/>
        </w:rPr>
        <w:t xml:space="preserve"> </w:t>
      </w:r>
      <w:r>
        <w:rPr>
          <w:spacing w:val="-1"/>
          <w:sz w:val="21"/>
        </w:rPr>
        <w:t>r</w:t>
      </w:r>
      <w:r>
        <w:rPr>
          <w:sz w:val="21"/>
        </w:rPr>
        <w:t>ec</w:t>
      </w:r>
      <w:r>
        <w:rPr>
          <w:spacing w:val="-3"/>
          <w:sz w:val="21"/>
        </w:rPr>
        <w:t>e</w:t>
      </w:r>
      <w:r>
        <w:rPr>
          <w:sz w:val="21"/>
        </w:rPr>
        <w:t>i</w:t>
      </w:r>
      <w:r>
        <w:rPr>
          <w:spacing w:val="-3"/>
          <w:sz w:val="21"/>
        </w:rPr>
        <w:t>v</w:t>
      </w:r>
      <w:r>
        <w:rPr>
          <w:sz w:val="21"/>
        </w:rPr>
        <w:t>ed</w:t>
      </w:r>
      <w:r>
        <w:rPr>
          <w:sz w:val="21"/>
        </w:rPr>
        <w:t xml:space="preserve">  </w:t>
      </w:r>
      <w:r>
        <w:rPr>
          <w:spacing w:val="-12"/>
          <w:sz w:val="21"/>
        </w:rPr>
        <w:t xml:space="preserve"> </w:t>
      </w:r>
      <w:r>
        <w:rPr>
          <w:sz w:val="21"/>
        </w:rPr>
        <w:t xml:space="preserve">in </w:t>
      </w:r>
      <w:r>
        <w:rPr>
          <w:sz w:val="21"/>
        </w:rPr>
        <w:t>response to the advertisement in respect of only those entities which fulfil the following minimum eligibility criteria, namely:-</w:t>
      </w:r>
    </w:p>
    <w:p w:rsidR="008215AB" w:rsidRDefault="008215AB">
      <w:pPr>
        <w:pStyle w:val="BodyText"/>
        <w:spacing w:before="10"/>
        <w:rPr>
          <w:sz w:val="20"/>
        </w:rPr>
      </w:pPr>
    </w:p>
    <w:p w:rsidR="008215AB" w:rsidRDefault="006513FA">
      <w:pPr>
        <w:ind w:left="1940"/>
        <w:rPr>
          <w:sz w:val="21"/>
        </w:rPr>
      </w:pPr>
      <w:r>
        <w:rPr>
          <w:sz w:val="21"/>
        </w:rPr>
        <w:t>…</w:t>
      </w:r>
    </w:p>
    <w:p w:rsidR="008215AB" w:rsidRDefault="008215AB">
      <w:pPr>
        <w:pStyle w:val="BodyText"/>
        <w:spacing w:before="10"/>
        <w:rPr>
          <w:sz w:val="20"/>
        </w:rPr>
      </w:pPr>
    </w:p>
    <w:p w:rsidR="008215AB" w:rsidRDefault="006513FA">
      <w:pPr>
        <w:spacing w:before="1"/>
        <w:ind w:left="1940" w:right="1944"/>
        <w:jc w:val="both"/>
        <w:rPr>
          <w:sz w:val="21"/>
        </w:rPr>
      </w:pPr>
      <w:r>
        <w:rPr>
          <w:sz w:val="21"/>
        </w:rPr>
        <w:t>(e)    the entity has adequate financial strength to execute   the proposed project, operate and maintain the same in the authorised area and shall meet the following financial criterion to qualify for bidding for a single CGD network</w:t>
      </w:r>
      <w:r>
        <w:rPr>
          <w:spacing w:val="-16"/>
          <w:sz w:val="21"/>
        </w:rPr>
        <w:t xml:space="preserve"> </w:t>
      </w:r>
      <w:r>
        <w:rPr>
          <w:sz w:val="21"/>
        </w:rPr>
        <w:t>namely:-</w:t>
      </w:r>
    </w:p>
    <w:p w:rsidR="008215AB" w:rsidRDefault="008215AB">
      <w:pPr>
        <w:pStyle w:val="BodyText"/>
        <w:rPr>
          <w:sz w:val="20"/>
        </w:rPr>
      </w:pPr>
    </w:p>
    <w:p w:rsidR="008215AB" w:rsidRDefault="008215AB">
      <w:pPr>
        <w:pStyle w:val="BodyText"/>
        <w:spacing w:before="6"/>
        <w:rPr>
          <w:sz w:val="22"/>
        </w:rPr>
      </w:pPr>
    </w:p>
    <w:tbl>
      <w:tblPr>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52"/>
        <w:gridCol w:w="4501"/>
      </w:tblGrid>
      <w:tr w:rsidR="008215AB">
        <w:trPr>
          <w:trHeight w:val="832"/>
        </w:trPr>
        <w:tc>
          <w:tcPr>
            <w:tcW w:w="3152" w:type="dxa"/>
          </w:tcPr>
          <w:p w:rsidR="008215AB" w:rsidRDefault="006513FA">
            <w:pPr>
              <w:pStyle w:val="TableParagraph"/>
              <w:spacing w:line="276" w:lineRule="auto"/>
              <w:ind w:left="335" w:right="329" w:hanging="2"/>
              <w:jc w:val="center"/>
              <w:rPr>
                <w:b/>
                <w:sz w:val="21"/>
              </w:rPr>
            </w:pPr>
            <w:r>
              <w:rPr>
                <w:b/>
                <w:sz w:val="21"/>
              </w:rPr>
              <w:t>Population</w:t>
            </w:r>
            <w:r>
              <w:rPr>
                <w:b/>
                <w:sz w:val="21"/>
              </w:rPr>
              <w:t xml:space="preserve"> in the geographical area as per</w:t>
            </w:r>
          </w:p>
          <w:p w:rsidR="008215AB" w:rsidRDefault="006513FA">
            <w:pPr>
              <w:pStyle w:val="TableParagraph"/>
              <w:ind w:left="509" w:right="502"/>
              <w:jc w:val="center"/>
              <w:rPr>
                <w:b/>
                <w:sz w:val="21"/>
              </w:rPr>
            </w:pPr>
            <w:r>
              <w:rPr>
                <w:b/>
                <w:sz w:val="21"/>
              </w:rPr>
              <w:t>2011 Census of India</w:t>
            </w:r>
          </w:p>
        </w:tc>
        <w:tc>
          <w:tcPr>
            <w:tcW w:w="4501" w:type="dxa"/>
          </w:tcPr>
          <w:p w:rsidR="008215AB" w:rsidRDefault="006513FA">
            <w:pPr>
              <w:pStyle w:val="TableParagraph"/>
              <w:spacing w:line="236" w:lineRule="exact"/>
              <w:ind w:left="311"/>
              <w:rPr>
                <w:b/>
                <w:sz w:val="21"/>
              </w:rPr>
            </w:pPr>
            <w:r>
              <w:rPr>
                <w:b/>
                <w:sz w:val="21"/>
              </w:rPr>
              <w:t>Minimum net worth of the bidder entity</w:t>
            </w:r>
          </w:p>
        </w:tc>
      </w:tr>
      <w:tr w:rsidR="008215AB">
        <w:trPr>
          <w:trHeight w:val="278"/>
        </w:trPr>
        <w:tc>
          <w:tcPr>
            <w:tcW w:w="3152" w:type="dxa"/>
          </w:tcPr>
          <w:p w:rsidR="008215AB" w:rsidRDefault="006513FA">
            <w:pPr>
              <w:pStyle w:val="TableParagraph"/>
              <w:spacing w:line="239" w:lineRule="exact"/>
              <w:rPr>
                <w:sz w:val="21"/>
              </w:rPr>
            </w:pPr>
            <w:r>
              <w:rPr>
                <w:sz w:val="21"/>
              </w:rPr>
              <w:t>(1)</w:t>
            </w:r>
          </w:p>
        </w:tc>
        <w:tc>
          <w:tcPr>
            <w:tcW w:w="4501" w:type="dxa"/>
          </w:tcPr>
          <w:p w:rsidR="008215AB" w:rsidRDefault="006513FA">
            <w:pPr>
              <w:pStyle w:val="TableParagraph"/>
              <w:spacing w:line="239" w:lineRule="exact"/>
              <w:rPr>
                <w:sz w:val="21"/>
              </w:rPr>
            </w:pPr>
            <w:r>
              <w:rPr>
                <w:sz w:val="21"/>
              </w:rPr>
              <w:t>(2)</w:t>
            </w:r>
          </w:p>
        </w:tc>
      </w:tr>
      <w:tr w:rsidR="008215AB">
        <w:trPr>
          <w:trHeight w:val="1110"/>
        </w:trPr>
        <w:tc>
          <w:tcPr>
            <w:tcW w:w="3152" w:type="dxa"/>
          </w:tcPr>
          <w:p w:rsidR="008215AB" w:rsidRDefault="006513FA">
            <w:pPr>
              <w:pStyle w:val="TableParagraph"/>
              <w:spacing w:line="236" w:lineRule="exact"/>
              <w:rPr>
                <w:sz w:val="21"/>
              </w:rPr>
            </w:pPr>
            <w:r>
              <w:rPr>
                <w:sz w:val="21"/>
              </w:rPr>
              <w:t>5 million or more</w:t>
            </w:r>
          </w:p>
        </w:tc>
        <w:tc>
          <w:tcPr>
            <w:tcW w:w="4501" w:type="dxa"/>
          </w:tcPr>
          <w:p w:rsidR="008215AB" w:rsidRDefault="006513FA">
            <w:pPr>
              <w:pStyle w:val="TableParagraph"/>
              <w:spacing w:line="276" w:lineRule="auto"/>
              <w:ind w:right="97"/>
              <w:jc w:val="both"/>
              <w:rPr>
                <w:sz w:val="21"/>
              </w:rPr>
            </w:pPr>
            <w:r>
              <w:rPr>
                <w:sz w:val="21"/>
              </w:rPr>
              <w:t>Rs. 1,500 million for a population of 5 million, plus additional Rs. 300 million for each 1 million of population or part thereof, in excess</w:t>
            </w:r>
          </w:p>
          <w:p w:rsidR="008215AB" w:rsidRDefault="006513FA">
            <w:pPr>
              <w:pStyle w:val="TableParagraph"/>
              <w:jc w:val="both"/>
              <w:rPr>
                <w:sz w:val="21"/>
              </w:rPr>
            </w:pPr>
            <w:r>
              <w:rPr>
                <w:sz w:val="21"/>
              </w:rPr>
              <w:t>of 5 million (refer Note-3)</w:t>
            </w:r>
          </w:p>
        </w:tc>
      </w:tr>
      <w:tr w:rsidR="008215AB">
        <w:trPr>
          <w:trHeight w:val="556"/>
        </w:trPr>
        <w:tc>
          <w:tcPr>
            <w:tcW w:w="3152" w:type="dxa"/>
          </w:tcPr>
          <w:p w:rsidR="008215AB" w:rsidRDefault="006513FA">
            <w:pPr>
              <w:pStyle w:val="TableParagraph"/>
              <w:spacing w:line="237" w:lineRule="exact"/>
              <w:rPr>
                <w:sz w:val="21"/>
              </w:rPr>
            </w:pPr>
            <w:r>
              <w:rPr>
                <w:sz w:val="21"/>
              </w:rPr>
              <w:t>2 million or more but less than</w:t>
            </w:r>
          </w:p>
          <w:p w:rsidR="008215AB" w:rsidRDefault="006513FA">
            <w:pPr>
              <w:pStyle w:val="TableParagraph"/>
              <w:spacing w:before="37"/>
              <w:rPr>
                <w:sz w:val="21"/>
              </w:rPr>
            </w:pPr>
            <w:r>
              <w:rPr>
                <w:sz w:val="21"/>
              </w:rPr>
              <w:t>5 million</w:t>
            </w:r>
          </w:p>
        </w:tc>
        <w:tc>
          <w:tcPr>
            <w:tcW w:w="4501" w:type="dxa"/>
          </w:tcPr>
          <w:p w:rsidR="008215AB" w:rsidRDefault="006513FA">
            <w:pPr>
              <w:pStyle w:val="TableParagraph"/>
              <w:spacing w:line="237" w:lineRule="exact"/>
              <w:rPr>
                <w:sz w:val="21"/>
              </w:rPr>
            </w:pPr>
            <w:r>
              <w:rPr>
                <w:sz w:val="21"/>
              </w:rPr>
              <w:t>Rs.1,000 million</w:t>
            </w:r>
          </w:p>
        </w:tc>
      </w:tr>
      <w:tr w:rsidR="008215AB">
        <w:trPr>
          <w:trHeight w:val="554"/>
        </w:trPr>
        <w:tc>
          <w:tcPr>
            <w:tcW w:w="3152" w:type="dxa"/>
          </w:tcPr>
          <w:p w:rsidR="008215AB" w:rsidRDefault="006513FA">
            <w:pPr>
              <w:pStyle w:val="TableParagraph"/>
              <w:numPr>
                <w:ilvl w:val="0"/>
                <w:numId w:val="6"/>
              </w:numPr>
              <w:tabs>
                <w:tab w:val="left" w:pos="305"/>
              </w:tabs>
              <w:spacing w:line="236" w:lineRule="exact"/>
              <w:ind w:hanging="198"/>
              <w:rPr>
                <w:sz w:val="21"/>
              </w:rPr>
            </w:pPr>
            <w:r>
              <w:rPr>
                <w:sz w:val="21"/>
              </w:rPr>
              <w:t>million or more but less</w:t>
            </w:r>
            <w:r>
              <w:rPr>
                <w:spacing w:val="-15"/>
                <w:sz w:val="21"/>
              </w:rPr>
              <w:t xml:space="preserve"> </w:t>
            </w:r>
            <w:r>
              <w:rPr>
                <w:sz w:val="21"/>
              </w:rPr>
              <w:t>than</w:t>
            </w:r>
          </w:p>
          <w:p w:rsidR="008215AB" w:rsidRDefault="006513FA">
            <w:pPr>
              <w:pStyle w:val="TableParagraph"/>
              <w:numPr>
                <w:ilvl w:val="0"/>
                <w:numId w:val="6"/>
              </w:numPr>
              <w:tabs>
                <w:tab w:val="left" w:pos="284"/>
              </w:tabs>
              <w:spacing w:before="37"/>
              <w:ind w:left="283" w:hanging="177"/>
              <w:rPr>
                <w:sz w:val="21"/>
              </w:rPr>
            </w:pPr>
            <w:r>
              <w:rPr>
                <w:sz w:val="21"/>
              </w:rPr>
              <w:t>million</w:t>
            </w:r>
          </w:p>
        </w:tc>
        <w:tc>
          <w:tcPr>
            <w:tcW w:w="4501" w:type="dxa"/>
          </w:tcPr>
          <w:p w:rsidR="008215AB" w:rsidRDefault="006513FA">
            <w:pPr>
              <w:pStyle w:val="TableParagraph"/>
              <w:spacing w:line="236" w:lineRule="exact"/>
              <w:rPr>
                <w:sz w:val="21"/>
              </w:rPr>
            </w:pPr>
            <w:r>
              <w:rPr>
                <w:sz w:val="21"/>
              </w:rPr>
              <w:t>Rs. 750 million</w:t>
            </w:r>
          </w:p>
        </w:tc>
      </w:tr>
      <w:tr w:rsidR="008215AB">
        <w:trPr>
          <w:trHeight w:val="556"/>
        </w:trPr>
        <w:tc>
          <w:tcPr>
            <w:tcW w:w="3152" w:type="dxa"/>
          </w:tcPr>
          <w:p w:rsidR="008215AB" w:rsidRDefault="006513FA">
            <w:pPr>
              <w:pStyle w:val="TableParagraph"/>
              <w:spacing w:line="239" w:lineRule="exact"/>
              <w:rPr>
                <w:sz w:val="21"/>
              </w:rPr>
            </w:pPr>
            <w:r>
              <w:rPr>
                <w:sz w:val="21"/>
              </w:rPr>
              <w:t>0.5 million or more but less</w:t>
            </w:r>
          </w:p>
          <w:p w:rsidR="008215AB" w:rsidRDefault="006513FA">
            <w:pPr>
              <w:pStyle w:val="TableParagraph"/>
              <w:spacing w:before="34"/>
              <w:rPr>
                <w:sz w:val="21"/>
              </w:rPr>
            </w:pPr>
            <w:r>
              <w:rPr>
                <w:sz w:val="21"/>
              </w:rPr>
              <w:t>than 1 million</w:t>
            </w:r>
          </w:p>
        </w:tc>
        <w:tc>
          <w:tcPr>
            <w:tcW w:w="4501" w:type="dxa"/>
          </w:tcPr>
          <w:p w:rsidR="008215AB" w:rsidRDefault="006513FA">
            <w:pPr>
              <w:pStyle w:val="TableParagraph"/>
              <w:spacing w:line="239" w:lineRule="exact"/>
              <w:rPr>
                <w:sz w:val="21"/>
              </w:rPr>
            </w:pPr>
            <w:r>
              <w:rPr>
                <w:sz w:val="21"/>
              </w:rPr>
              <w:t>Rs. 500 million</w:t>
            </w:r>
          </w:p>
        </w:tc>
      </w:tr>
      <w:tr w:rsidR="008215AB">
        <w:trPr>
          <w:trHeight w:val="556"/>
        </w:trPr>
        <w:tc>
          <w:tcPr>
            <w:tcW w:w="3152" w:type="dxa"/>
          </w:tcPr>
          <w:p w:rsidR="008215AB" w:rsidRDefault="006513FA">
            <w:pPr>
              <w:pStyle w:val="TableParagraph"/>
              <w:spacing w:line="236" w:lineRule="exact"/>
              <w:rPr>
                <w:sz w:val="21"/>
              </w:rPr>
            </w:pPr>
            <w:r>
              <w:rPr>
                <w:sz w:val="21"/>
              </w:rPr>
              <w:t>0.25 million or more but less</w:t>
            </w:r>
          </w:p>
          <w:p w:rsidR="008215AB" w:rsidRDefault="006513FA">
            <w:pPr>
              <w:pStyle w:val="TableParagraph"/>
              <w:spacing w:before="37"/>
              <w:rPr>
                <w:sz w:val="21"/>
              </w:rPr>
            </w:pPr>
            <w:r>
              <w:rPr>
                <w:sz w:val="21"/>
              </w:rPr>
              <w:t>than 0.50 million</w:t>
            </w:r>
          </w:p>
        </w:tc>
        <w:tc>
          <w:tcPr>
            <w:tcW w:w="4501" w:type="dxa"/>
          </w:tcPr>
          <w:p w:rsidR="008215AB" w:rsidRDefault="006513FA">
            <w:pPr>
              <w:pStyle w:val="TableParagraph"/>
              <w:spacing w:line="236" w:lineRule="exact"/>
              <w:rPr>
                <w:sz w:val="21"/>
              </w:rPr>
            </w:pPr>
            <w:r>
              <w:rPr>
                <w:sz w:val="21"/>
              </w:rPr>
              <w:t>Rs. 250 million</w:t>
            </w:r>
          </w:p>
        </w:tc>
      </w:tr>
      <w:tr w:rsidR="008215AB">
        <w:trPr>
          <w:trHeight w:val="553"/>
        </w:trPr>
        <w:tc>
          <w:tcPr>
            <w:tcW w:w="3152" w:type="dxa"/>
          </w:tcPr>
          <w:p w:rsidR="008215AB" w:rsidRDefault="006513FA">
            <w:pPr>
              <w:pStyle w:val="TableParagraph"/>
              <w:spacing w:line="236" w:lineRule="exact"/>
              <w:rPr>
                <w:sz w:val="21"/>
              </w:rPr>
            </w:pPr>
            <w:r>
              <w:rPr>
                <w:sz w:val="21"/>
              </w:rPr>
              <w:t>0.1 million or more but less</w:t>
            </w:r>
          </w:p>
          <w:p w:rsidR="008215AB" w:rsidRDefault="006513FA">
            <w:pPr>
              <w:pStyle w:val="TableParagraph"/>
              <w:spacing w:before="37"/>
              <w:rPr>
                <w:sz w:val="21"/>
              </w:rPr>
            </w:pPr>
            <w:r>
              <w:rPr>
                <w:sz w:val="21"/>
              </w:rPr>
              <w:t>than 0.25 million</w:t>
            </w:r>
          </w:p>
        </w:tc>
        <w:tc>
          <w:tcPr>
            <w:tcW w:w="4501" w:type="dxa"/>
          </w:tcPr>
          <w:p w:rsidR="008215AB" w:rsidRDefault="006513FA">
            <w:pPr>
              <w:pStyle w:val="TableParagraph"/>
              <w:spacing w:line="236" w:lineRule="exact"/>
              <w:rPr>
                <w:sz w:val="21"/>
              </w:rPr>
            </w:pPr>
            <w:r>
              <w:rPr>
                <w:sz w:val="21"/>
              </w:rPr>
              <w:t>Rs. 100 million</w:t>
            </w:r>
          </w:p>
        </w:tc>
      </w:tr>
      <w:tr w:rsidR="008215AB">
        <w:trPr>
          <w:trHeight w:val="277"/>
        </w:trPr>
        <w:tc>
          <w:tcPr>
            <w:tcW w:w="3152" w:type="dxa"/>
          </w:tcPr>
          <w:p w:rsidR="008215AB" w:rsidRDefault="006513FA">
            <w:pPr>
              <w:pStyle w:val="TableParagraph"/>
              <w:spacing w:line="236" w:lineRule="exact"/>
              <w:rPr>
                <w:sz w:val="21"/>
              </w:rPr>
            </w:pPr>
            <w:r>
              <w:rPr>
                <w:sz w:val="21"/>
              </w:rPr>
              <w:t>Less than 0.1 million</w:t>
            </w:r>
          </w:p>
        </w:tc>
        <w:tc>
          <w:tcPr>
            <w:tcW w:w="4501" w:type="dxa"/>
          </w:tcPr>
          <w:p w:rsidR="008215AB" w:rsidRDefault="006513FA">
            <w:pPr>
              <w:pStyle w:val="TableParagraph"/>
              <w:spacing w:line="236" w:lineRule="exact"/>
              <w:rPr>
                <w:sz w:val="21"/>
              </w:rPr>
            </w:pPr>
            <w:r>
              <w:rPr>
                <w:sz w:val="21"/>
              </w:rPr>
              <w:t>Rs. 50 million</w:t>
            </w:r>
          </w:p>
        </w:tc>
      </w:tr>
    </w:tbl>
    <w:p w:rsidR="008215AB" w:rsidRDefault="006513FA">
      <w:pPr>
        <w:spacing w:line="237" w:lineRule="exact"/>
        <w:ind w:right="432"/>
        <w:jc w:val="right"/>
        <w:rPr>
          <w:sz w:val="21"/>
        </w:rPr>
      </w:pPr>
      <w:r>
        <w:rPr>
          <w:w w:val="81"/>
          <w:sz w:val="21"/>
        </w:rPr>
        <w:t>‖</w:t>
      </w:r>
    </w:p>
    <w:p w:rsidR="008215AB" w:rsidRDefault="008215AB">
      <w:pPr>
        <w:pStyle w:val="BodyText"/>
        <w:rPr>
          <w:sz w:val="24"/>
        </w:rPr>
      </w:pPr>
    </w:p>
    <w:p w:rsidR="008215AB" w:rsidRDefault="008215AB">
      <w:pPr>
        <w:pStyle w:val="BodyText"/>
        <w:spacing w:before="1"/>
        <w:rPr>
          <w:sz w:val="22"/>
        </w:rPr>
      </w:pPr>
    </w:p>
    <w:p w:rsidR="008215AB" w:rsidRDefault="006513FA">
      <w:pPr>
        <w:pStyle w:val="BodyText"/>
        <w:spacing w:line="480" w:lineRule="auto"/>
        <w:ind w:left="500"/>
      </w:pPr>
      <w:r>
        <w:t>The minimum net-worth of the bidding entity is thus linked to the population of the GA the entity is bidding for, as set out in 2011 Census</w:t>
      </w:r>
      <w:r>
        <w:rPr>
          <w:spacing w:val="-8"/>
        </w:rPr>
        <w:t xml:space="preserve"> </w:t>
      </w:r>
      <w:r>
        <w:t>data.</w:t>
      </w:r>
    </w:p>
    <w:p w:rsidR="008215AB" w:rsidRDefault="008215AB">
      <w:pPr>
        <w:pStyle w:val="BodyText"/>
      </w:pPr>
    </w:p>
    <w:p w:rsidR="008215AB" w:rsidRDefault="006513FA">
      <w:pPr>
        <w:pStyle w:val="ListParagraph"/>
        <w:numPr>
          <w:ilvl w:val="0"/>
          <w:numId w:val="8"/>
        </w:numPr>
        <w:tabs>
          <w:tab w:val="left" w:pos="1221"/>
        </w:tabs>
        <w:spacing w:line="480" w:lineRule="auto"/>
        <w:ind w:right="115" w:firstLine="0"/>
        <w:jc w:val="both"/>
        <w:rPr>
          <w:sz w:val="25"/>
        </w:rPr>
      </w:pPr>
      <w:r>
        <w:rPr>
          <w:sz w:val="25"/>
        </w:rPr>
        <w:t xml:space="preserve">Regulation 7 of the CGD Authorisation Regulations provides the criteria for determining how the Board should evaluate rival bids for the same </w:t>
      </w:r>
      <w:r>
        <w:rPr>
          <w:spacing w:val="3"/>
          <w:sz w:val="25"/>
        </w:rPr>
        <w:t xml:space="preserve">GA. </w:t>
      </w:r>
      <w:r>
        <w:rPr>
          <w:sz w:val="25"/>
        </w:rPr>
        <w:t>Regulation 7 is quoted below, in its</w:t>
      </w:r>
      <w:r>
        <w:rPr>
          <w:spacing w:val="-5"/>
          <w:sz w:val="25"/>
        </w:rPr>
        <w:t xml:space="preserve"> </w:t>
      </w:r>
      <w:r>
        <w:rPr>
          <w:sz w:val="25"/>
        </w:rPr>
        <w:t>entirety:</w:t>
      </w:r>
    </w:p>
    <w:p w:rsidR="008215AB" w:rsidRDefault="006513FA">
      <w:pPr>
        <w:tabs>
          <w:tab w:val="left" w:pos="1940"/>
        </w:tabs>
        <w:spacing w:before="1"/>
        <w:ind w:left="1400"/>
        <w:rPr>
          <w:sz w:val="21"/>
        </w:rPr>
      </w:pPr>
      <w:r>
        <w:rPr>
          <w:spacing w:val="-1"/>
          <w:w w:val="33"/>
          <w:sz w:val="21"/>
        </w:rPr>
        <w:t>―</w:t>
      </w:r>
      <w:r>
        <w:rPr>
          <w:spacing w:val="-1"/>
          <w:sz w:val="21"/>
        </w:rPr>
        <w:t>7</w:t>
      </w:r>
      <w:r>
        <w:rPr>
          <w:sz w:val="21"/>
        </w:rPr>
        <w:t>.</w:t>
      </w:r>
      <w:r>
        <w:rPr>
          <w:sz w:val="21"/>
        </w:rPr>
        <w:tab/>
      </w:r>
      <w:r>
        <w:rPr>
          <w:sz w:val="21"/>
        </w:rPr>
        <w:t>B</w:t>
      </w:r>
      <w:r>
        <w:rPr>
          <w:spacing w:val="-2"/>
          <w:sz w:val="21"/>
        </w:rPr>
        <w:t>i</w:t>
      </w:r>
      <w:r>
        <w:rPr>
          <w:sz w:val="21"/>
        </w:rPr>
        <w:t>dd</w:t>
      </w:r>
      <w:r>
        <w:rPr>
          <w:spacing w:val="-1"/>
          <w:sz w:val="21"/>
        </w:rPr>
        <w:t>i</w:t>
      </w:r>
      <w:r>
        <w:rPr>
          <w:sz w:val="21"/>
        </w:rPr>
        <w:t>ng</w:t>
      </w:r>
      <w:r>
        <w:rPr>
          <w:spacing w:val="-1"/>
          <w:sz w:val="21"/>
        </w:rPr>
        <w:t xml:space="preserve"> </w:t>
      </w:r>
      <w:r>
        <w:rPr>
          <w:sz w:val="21"/>
        </w:rPr>
        <w:t>c</w:t>
      </w:r>
      <w:r>
        <w:rPr>
          <w:spacing w:val="-1"/>
          <w:sz w:val="21"/>
        </w:rPr>
        <w:t>r</w:t>
      </w:r>
      <w:r>
        <w:rPr>
          <w:sz w:val="21"/>
        </w:rPr>
        <w:t>i</w:t>
      </w:r>
      <w:r>
        <w:rPr>
          <w:spacing w:val="-2"/>
          <w:sz w:val="21"/>
        </w:rPr>
        <w:t>t</w:t>
      </w:r>
      <w:r>
        <w:rPr>
          <w:sz w:val="21"/>
        </w:rPr>
        <w:t>e</w:t>
      </w:r>
      <w:r>
        <w:rPr>
          <w:spacing w:val="-3"/>
          <w:sz w:val="21"/>
        </w:rPr>
        <w:t>r</w:t>
      </w:r>
      <w:r>
        <w:rPr>
          <w:sz w:val="21"/>
        </w:rPr>
        <w:t>ia.</w:t>
      </w:r>
    </w:p>
    <w:p w:rsidR="008215AB" w:rsidRDefault="008215AB">
      <w:pPr>
        <w:rPr>
          <w:sz w:val="21"/>
        </w:rPr>
        <w:sectPr w:rsidR="008215AB">
          <w:pgSz w:w="11910" w:h="16840"/>
          <w:pgMar w:top="1340" w:right="1320" w:bottom="1220" w:left="940" w:header="0" w:footer="1034" w:gutter="0"/>
          <w:cols w:space="720"/>
        </w:sectPr>
      </w:pPr>
    </w:p>
    <w:p w:rsidR="008215AB" w:rsidRDefault="006513FA">
      <w:pPr>
        <w:spacing w:before="79" w:line="276" w:lineRule="auto"/>
        <w:ind w:left="1400" w:right="1019"/>
        <w:jc w:val="both"/>
        <w:rPr>
          <w:sz w:val="21"/>
        </w:rPr>
      </w:pPr>
      <w:r>
        <w:rPr>
          <w:sz w:val="21"/>
        </w:rPr>
        <w:t>1(a) The Board, while considering the proposal for authorisation, shall tabulate and compare all financial bids meeting the minimum eligibility criteria, as per the bidding criteria specified below,</w:t>
      </w:r>
      <w:r>
        <w:rPr>
          <w:spacing w:val="-14"/>
          <w:sz w:val="21"/>
        </w:rPr>
        <w:t xml:space="preserve"> </w:t>
      </w:r>
      <w:r>
        <w:rPr>
          <w:sz w:val="21"/>
        </w:rPr>
        <w:t>namely:-</w:t>
      </w:r>
    </w:p>
    <w:p w:rsidR="008215AB" w:rsidRDefault="008215AB">
      <w:pPr>
        <w:pStyle w:val="BodyText"/>
        <w:spacing w:before="5"/>
        <w:rPr>
          <w:sz w:val="24"/>
        </w:rPr>
      </w:pPr>
    </w:p>
    <w:tbl>
      <w:tblPr>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92"/>
        <w:gridCol w:w="1441"/>
        <w:gridCol w:w="2881"/>
      </w:tblGrid>
      <w:tr w:rsidR="008215AB">
        <w:trPr>
          <w:trHeight w:val="556"/>
        </w:trPr>
        <w:tc>
          <w:tcPr>
            <w:tcW w:w="540" w:type="dxa"/>
          </w:tcPr>
          <w:p w:rsidR="008215AB" w:rsidRDefault="006513FA">
            <w:pPr>
              <w:pStyle w:val="TableParagraph"/>
              <w:spacing w:line="239" w:lineRule="exact"/>
              <w:ind w:left="141"/>
              <w:rPr>
                <w:b/>
                <w:sz w:val="21"/>
              </w:rPr>
            </w:pPr>
            <w:r>
              <w:rPr>
                <w:b/>
                <w:sz w:val="21"/>
              </w:rPr>
              <w:t>Sl.</w:t>
            </w:r>
          </w:p>
          <w:p w:rsidR="008215AB" w:rsidRDefault="006513FA">
            <w:pPr>
              <w:pStyle w:val="TableParagraph"/>
              <w:spacing w:before="34"/>
              <w:rPr>
                <w:b/>
                <w:sz w:val="21"/>
              </w:rPr>
            </w:pPr>
            <w:r>
              <w:rPr>
                <w:b/>
                <w:sz w:val="21"/>
              </w:rPr>
              <w:t>No</w:t>
            </w:r>
          </w:p>
        </w:tc>
        <w:tc>
          <w:tcPr>
            <w:tcW w:w="2792" w:type="dxa"/>
          </w:tcPr>
          <w:p w:rsidR="008215AB" w:rsidRDefault="006513FA">
            <w:pPr>
              <w:pStyle w:val="TableParagraph"/>
              <w:spacing w:line="239" w:lineRule="exact"/>
              <w:ind w:left="607"/>
              <w:rPr>
                <w:b/>
                <w:sz w:val="21"/>
              </w:rPr>
            </w:pPr>
            <w:r>
              <w:rPr>
                <w:b/>
                <w:sz w:val="21"/>
              </w:rPr>
              <w:t>Bidding Criteria</w:t>
            </w:r>
          </w:p>
        </w:tc>
        <w:tc>
          <w:tcPr>
            <w:tcW w:w="1441" w:type="dxa"/>
          </w:tcPr>
          <w:p w:rsidR="008215AB" w:rsidRDefault="006513FA">
            <w:pPr>
              <w:pStyle w:val="TableParagraph"/>
              <w:spacing w:line="239" w:lineRule="exact"/>
              <w:ind w:left="89" w:right="239"/>
              <w:jc w:val="center"/>
              <w:rPr>
                <w:b/>
                <w:sz w:val="21"/>
              </w:rPr>
            </w:pPr>
            <w:r>
              <w:rPr>
                <w:b/>
                <w:sz w:val="21"/>
              </w:rPr>
              <w:t>Weightage</w:t>
            </w:r>
          </w:p>
          <w:p w:rsidR="008215AB" w:rsidRDefault="006513FA">
            <w:pPr>
              <w:pStyle w:val="TableParagraph"/>
              <w:spacing w:before="34"/>
              <w:ind w:left="8"/>
              <w:jc w:val="center"/>
              <w:rPr>
                <w:b/>
                <w:sz w:val="21"/>
              </w:rPr>
            </w:pPr>
            <w:r>
              <w:rPr>
                <w:b/>
                <w:sz w:val="21"/>
              </w:rPr>
              <w:t>%</w:t>
            </w:r>
          </w:p>
        </w:tc>
        <w:tc>
          <w:tcPr>
            <w:tcW w:w="2881" w:type="dxa"/>
          </w:tcPr>
          <w:p w:rsidR="008215AB" w:rsidRDefault="006513FA">
            <w:pPr>
              <w:pStyle w:val="TableParagraph"/>
              <w:spacing w:line="239" w:lineRule="exact"/>
              <w:ind w:left="823" w:right="816"/>
              <w:jc w:val="center"/>
              <w:rPr>
                <w:b/>
                <w:sz w:val="21"/>
              </w:rPr>
            </w:pPr>
            <w:r>
              <w:rPr>
                <w:b/>
                <w:sz w:val="21"/>
              </w:rPr>
              <w:t>Explanation</w:t>
            </w:r>
          </w:p>
        </w:tc>
      </w:tr>
      <w:tr w:rsidR="008215AB">
        <w:trPr>
          <w:trHeight w:val="2500"/>
        </w:trPr>
        <w:tc>
          <w:tcPr>
            <w:tcW w:w="540" w:type="dxa"/>
          </w:tcPr>
          <w:p w:rsidR="008215AB" w:rsidRDefault="006513FA">
            <w:pPr>
              <w:pStyle w:val="TableParagraph"/>
              <w:spacing w:line="236" w:lineRule="exact"/>
              <w:rPr>
                <w:sz w:val="21"/>
              </w:rPr>
            </w:pPr>
            <w:r>
              <w:rPr>
                <w:sz w:val="21"/>
              </w:rPr>
              <w:t>1</w:t>
            </w:r>
          </w:p>
        </w:tc>
        <w:tc>
          <w:tcPr>
            <w:tcW w:w="2792" w:type="dxa"/>
          </w:tcPr>
          <w:p w:rsidR="008215AB" w:rsidRDefault="006513FA">
            <w:pPr>
              <w:pStyle w:val="TableParagraph"/>
              <w:spacing w:line="276" w:lineRule="auto"/>
              <w:ind w:right="97"/>
              <w:jc w:val="both"/>
              <w:rPr>
                <w:sz w:val="21"/>
              </w:rPr>
            </w:pPr>
            <w:r>
              <w:rPr>
                <w:sz w:val="21"/>
              </w:rPr>
              <w:t xml:space="preserve">Lowness of transportation rate for CGD – in </w:t>
            </w:r>
            <w:r>
              <w:rPr>
                <w:spacing w:val="-4"/>
                <w:sz w:val="21"/>
              </w:rPr>
              <w:t xml:space="preserve">rupees </w:t>
            </w:r>
            <w:r>
              <w:rPr>
                <w:sz w:val="21"/>
              </w:rPr>
              <w:t>per million British Thermal Unit</w:t>
            </w:r>
            <w:r>
              <w:rPr>
                <w:spacing w:val="-3"/>
                <w:sz w:val="21"/>
              </w:rPr>
              <w:t xml:space="preserve"> </w:t>
            </w:r>
            <w:r>
              <w:rPr>
                <w:sz w:val="21"/>
              </w:rPr>
              <w:t>(Rs./MMBTU)</w:t>
            </w:r>
          </w:p>
        </w:tc>
        <w:tc>
          <w:tcPr>
            <w:tcW w:w="1441" w:type="dxa"/>
          </w:tcPr>
          <w:p w:rsidR="008215AB" w:rsidRDefault="006513FA">
            <w:pPr>
              <w:pStyle w:val="TableParagraph"/>
              <w:spacing w:line="236" w:lineRule="exact"/>
              <w:ind w:left="0" w:right="591"/>
              <w:jc w:val="right"/>
              <w:rPr>
                <w:sz w:val="21"/>
              </w:rPr>
            </w:pPr>
            <w:r>
              <w:rPr>
                <w:sz w:val="21"/>
              </w:rPr>
              <w:t>10</w:t>
            </w:r>
          </w:p>
        </w:tc>
        <w:tc>
          <w:tcPr>
            <w:tcW w:w="2881" w:type="dxa"/>
          </w:tcPr>
          <w:p w:rsidR="008215AB" w:rsidRDefault="006513FA">
            <w:pPr>
              <w:pStyle w:val="TableParagraph"/>
              <w:spacing w:line="276" w:lineRule="auto"/>
              <w:ind w:right="96"/>
              <w:jc w:val="both"/>
              <w:rPr>
                <w:sz w:val="21"/>
              </w:rPr>
            </w:pPr>
            <w:r>
              <w:rPr>
                <w:sz w:val="21"/>
              </w:rPr>
              <w:t xml:space="preserve">Bidder is required to quote transportation rate for CGD only for the first contract year which shall not be less than Rs.30/MMBTU. </w:t>
            </w:r>
            <w:r>
              <w:rPr>
                <w:spacing w:val="-4"/>
                <w:sz w:val="21"/>
              </w:rPr>
              <w:t xml:space="preserve">Rates </w:t>
            </w:r>
            <w:r>
              <w:rPr>
                <w:sz w:val="21"/>
              </w:rPr>
              <w:t xml:space="preserve">for the subsequent </w:t>
            </w:r>
            <w:r>
              <w:rPr>
                <w:spacing w:val="-3"/>
                <w:sz w:val="21"/>
              </w:rPr>
              <w:t xml:space="preserve">contract </w:t>
            </w:r>
            <w:r>
              <w:rPr>
                <w:sz w:val="21"/>
              </w:rPr>
              <w:t xml:space="preserve">years shall be </w:t>
            </w:r>
            <w:r>
              <w:rPr>
                <w:spacing w:val="-3"/>
                <w:sz w:val="21"/>
              </w:rPr>
              <w:t xml:space="preserve">derived </w:t>
            </w:r>
            <w:r>
              <w:rPr>
                <w:sz w:val="21"/>
              </w:rPr>
              <w:t>considering the quoted</w:t>
            </w:r>
            <w:r>
              <w:rPr>
                <w:spacing w:val="-6"/>
                <w:sz w:val="21"/>
              </w:rPr>
              <w:t xml:space="preserve"> </w:t>
            </w:r>
            <w:r>
              <w:rPr>
                <w:sz w:val="21"/>
              </w:rPr>
              <w:t>rate</w:t>
            </w:r>
          </w:p>
          <w:p w:rsidR="008215AB" w:rsidRDefault="006513FA">
            <w:pPr>
              <w:pStyle w:val="TableParagraph"/>
              <w:jc w:val="both"/>
              <w:rPr>
                <w:sz w:val="21"/>
              </w:rPr>
            </w:pPr>
            <w:r>
              <w:rPr>
                <w:sz w:val="21"/>
              </w:rPr>
              <w:t>and escalation as per Note.</w:t>
            </w:r>
          </w:p>
        </w:tc>
      </w:tr>
      <w:tr w:rsidR="008215AB">
        <w:trPr>
          <w:trHeight w:val="2776"/>
        </w:trPr>
        <w:tc>
          <w:tcPr>
            <w:tcW w:w="540" w:type="dxa"/>
          </w:tcPr>
          <w:p w:rsidR="008215AB" w:rsidRDefault="006513FA">
            <w:pPr>
              <w:pStyle w:val="TableParagraph"/>
              <w:spacing w:line="236" w:lineRule="exact"/>
              <w:rPr>
                <w:sz w:val="21"/>
              </w:rPr>
            </w:pPr>
            <w:r>
              <w:rPr>
                <w:sz w:val="21"/>
              </w:rPr>
              <w:t>2</w:t>
            </w:r>
          </w:p>
        </w:tc>
        <w:tc>
          <w:tcPr>
            <w:tcW w:w="2792" w:type="dxa"/>
          </w:tcPr>
          <w:p w:rsidR="008215AB" w:rsidRDefault="006513FA">
            <w:pPr>
              <w:pStyle w:val="TableParagraph"/>
              <w:spacing w:line="276" w:lineRule="auto"/>
              <w:ind w:right="97"/>
              <w:jc w:val="both"/>
              <w:rPr>
                <w:sz w:val="21"/>
              </w:rPr>
            </w:pPr>
            <w:r>
              <w:rPr>
                <w:sz w:val="21"/>
              </w:rPr>
              <w:t xml:space="preserve">Lowness of transportation rate for CNG – in </w:t>
            </w:r>
            <w:r>
              <w:rPr>
                <w:spacing w:val="-4"/>
                <w:sz w:val="21"/>
              </w:rPr>
              <w:t xml:space="preserve">rupees </w:t>
            </w:r>
            <w:r>
              <w:rPr>
                <w:sz w:val="21"/>
              </w:rPr>
              <w:t>per kilo gram</w:t>
            </w:r>
            <w:r>
              <w:rPr>
                <w:spacing w:val="-4"/>
                <w:sz w:val="21"/>
              </w:rPr>
              <w:t xml:space="preserve"> </w:t>
            </w:r>
            <w:r>
              <w:rPr>
                <w:sz w:val="21"/>
              </w:rPr>
              <w:t>(Rs./kg)</w:t>
            </w:r>
          </w:p>
        </w:tc>
        <w:tc>
          <w:tcPr>
            <w:tcW w:w="1441" w:type="dxa"/>
          </w:tcPr>
          <w:p w:rsidR="008215AB" w:rsidRDefault="006513FA">
            <w:pPr>
              <w:pStyle w:val="TableParagraph"/>
              <w:spacing w:line="236" w:lineRule="exact"/>
              <w:ind w:left="0" w:right="591"/>
              <w:jc w:val="right"/>
              <w:rPr>
                <w:sz w:val="21"/>
              </w:rPr>
            </w:pPr>
            <w:r>
              <w:rPr>
                <w:sz w:val="21"/>
              </w:rPr>
              <w:t>10</w:t>
            </w:r>
          </w:p>
        </w:tc>
        <w:tc>
          <w:tcPr>
            <w:tcW w:w="2881" w:type="dxa"/>
          </w:tcPr>
          <w:p w:rsidR="008215AB" w:rsidRDefault="006513FA">
            <w:pPr>
              <w:pStyle w:val="TableParagraph"/>
              <w:spacing w:line="276" w:lineRule="auto"/>
              <w:ind w:right="95"/>
              <w:jc w:val="both"/>
              <w:rPr>
                <w:sz w:val="21"/>
              </w:rPr>
            </w:pPr>
            <w:r>
              <w:rPr>
                <w:sz w:val="21"/>
              </w:rPr>
              <w:t xml:space="preserve">Bidder is required to quote transportation rate for CNG only for the first contract year which shall not be less than Rs.2/kg. Rates for the subsequent contract </w:t>
            </w:r>
            <w:r>
              <w:rPr>
                <w:spacing w:val="-5"/>
                <w:sz w:val="21"/>
              </w:rPr>
              <w:t xml:space="preserve">years </w:t>
            </w:r>
            <w:r>
              <w:rPr>
                <w:sz w:val="21"/>
              </w:rPr>
              <w:t xml:space="preserve">shall be derived considering the quoted rate </w:t>
            </w:r>
            <w:r>
              <w:rPr>
                <w:spacing w:val="-6"/>
                <w:sz w:val="21"/>
              </w:rPr>
              <w:t xml:space="preserve">and </w:t>
            </w:r>
            <w:r>
              <w:rPr>
                <w:sz w:val="21"/>
              </w:rPr>
              <w:t>escalation as per</w:t>
            </w:r>
            <w:r>
              <w:rPr>
                <w:spacing w:val="-4"/>
                <w:sz w:val="21"/>
              </w:rPr>
              <w:t xml:space="preserve"> </w:t>
            </w:r>
            <w:r>
              <w:rPr>
                <w:sz w:val="21"/>
              </w:rPr>
              <w:t>Note.</w:t>
            </w:r>
          </w:p>
        </w:tc>
      </w:tr>
      <w:tr w:rsidR="008215AB">
        <w:trPr>
          <w:trHeight w:val="1665"/>
        </w:trPr>
        <w:tc>
          <w:tcPr>
            <w:tcW w:w="540" w:type="dxa"/>
          </w:tcPr>
          <w:p w:rsidR="008215AB" w:rsidRDefault="006513FA">
            <w:pPr>
              <w:pStyle w:val="TableParagraph"/>
              <w:spacing w:line="236" w:lineRule="exact"/>
              <w:rPr>
                <w:sz w:val="21"/>
              </w:rPr>
            </w:pPr>
            <w:r>
              <w:rPr>
                <w:sz w:val="21"/>
              </w:rPr>
              <w:t>3</w:t>
            </w:r>
          </w:p>
        </w:tc>
        <w:tc>
          <w:tcPr>
            <w:tcW w:w="2792" w:type="dxa"/>
          </w:tcPr>
          <w:p w:rsidR="008215AB" w:rsidRDefault="006513FA">
            <w:pPr>
              <w:pStyle w:val="TableParagraph"/>
              <w:spacing w:line="276" w:lineRule="auto"/>
              <w:ind w:right="96"/>
              <w:jc w:val="both"/>
              <w:rPr>
                <w:sz w:val="21"/>
              </w:rPr>
            </w:pPr>
            <w:r>
              <w:rPr>
                <w:sz w:val="21"/>
              </w:rPr>
              <w:t xml:space="preserve">Highness of number of </w:t>
            </w:r>
            <w:r>
              <w:rPr>
                <w:b/>
                <w:sz w:val="21"/>
              </w:rPr>
              <w:t xml:space="preserve">CNG stations </w:t>
            </w:r>
            <w:r>
              <w:rPr>
                <w:sz w:val="21"/>
              </w:rPr>
              <w:t>(online and daughter booster stations) to be installed within 8 contract years from the</w:t>
            </w:r>
          </w:p>
          <w:p w:rsidR="008215AB" w:rsidRDefault="006513FA">
            <w:pPr>
              <w:pStyle w:val="TableParagraph"/>
              <w:jc w:val="both"/>
              <w:rPr>
                <w:b/>
                <w:sz w:val="21"/>
              </w:rPr>
            </w:pPr>
            <w:r>
              <w:rPr>
                <w:sz w:val="21"/>
              </w:rPr>
              <w:t xml:space="preserve">date of </w:t>
            </w:r>
            <w:r>
              <w:rPr>
                <w:b/>
                <w:sz w:val="21"/>
              </w:rPr>
              <w:t>authorisation</w:t>
            </w:r>
          </w:p>
        </w:tc>
        <w:tc>
          <w:tcPr>
            <w:tcW w:w="1441" w:type="dxa"/>
          </w:tcPr>
          <w:p w:rsidR="008215AB" w:rsidRDefault="006513FA">
            <w:pPr>
              <w:pStyle w:val="TableParagraph"/>
              <w:spacing w:line="236" w:lineRule="exact"/>
              <w:ind w:left="0" w:right="591"/>
              <w:jc w:val="right"/>
              <w:rPr>
                <w:b/>
                <w:sz w:val="21"/>
              </w:rPr>
            </w:pPr>
            <w:r>
              <w:rPr>
                <w:b/>
                <w:sz w:val="21"/>
              </w:rPr>
              <w:t>20</w:t>
            </w:r>
          </w:p>
        </w:tc>
        <w:tc>
          <w:tcPr>
            <w:tcW w:w="2881" w:type="dxa"/>
          </w:tcPr>
          <w:p w:rsidR="008215AB" w:rsidRDefault="006513FA">
            <w:pPr>
              <w:pStyle w:val="TableParagraph"/>
              <w:spacing w:line="236" w:lineRule="exact"/>
              <w:ind w:left="5"/>
              <w:jc w:val="center"/>
              <w:rPr>
                <w:sz w:val="21"/>
              </w:rPr>
            </w:pPr>
            <w:r>
              <w:rPr>
                <w:sz w:val="21"/>
              </w:rPr>
              <w:t>-</w:t>
            </w:r>
          </w:p>
        </w:tc>
      </w:tr>
      <w:tr w:rsidR="008215AB">
        <w:trPr>
          <w:trHeight w:val="1389"/>
        </w:trPr>
        <w:tc>
          <w:tcPr>
            <w:tcW w:w="540" w:type="dxa"/>
          </w:tcPr>
          <w:p w:rsidR="008215AB" w:rsidRDefault="006513FA">
            <w:pPr>
              <w:pStyle w:val="TableParagraph"/>
              <w:spacing w:line="236" w:lineRule="exact"/>
              <w:rPr>
                <w:sz w:val="21"/>
              </w:rPr>
            </w:pPr>
            <w:r>
              <w:rPr>
                <w:sz w:val="21"/>
              </w:rPr>
              <w:t>4</w:t>
            </w:r>
          </w:p>
        </w:tc>
        <w:tc>
          <w:tcPr>
            <w:tcW w:w="2792" w:type="dxa"/>
          </w:tcPr>
          <w:p w:rsidR="008215AB" w:rsidRDefault="006513FA">
            <w:pPr>
              <w:pStyle w:val="TableParagraph"/>
              <w:spacing w:line="276" w:lineRule="auto"/>
              <w:ind w:right="98"/>
              <w:jc w:val="both"/>
              <w:rPr>
                <w:sz w:val="21"/>
              </w:rPr>
            </w:pPr>
            <w:r>
              <w:rPr>
                <w:sz w:val="21"/>
              </w:rPr>
              <w:t>Highness of number of domestic piped natural gas connections to be achieved within 8 contract years from</w:t>
            </w:r>
          </w:p>
          <w:p w:rsidR="008215AB" w:rsidRDefault="006513FA">
            <w:pPr>
              <w:pStyle w:val="TableParagraph"/>
              <w:jc w:val="both"/>
              <w:rPr>
                <w:sz w:val="21"/>
              </w:rPr>
            </w:pPr>
            <w:r>
              <w:rPr>
                <w:sz w:val="21"/>
              </w:rPr>
              <w:t>the date of authorisation</w:t>
            </w:r>
          </w:p>
        </w:tc>
        <w:tc>
          <w:tcPr>
            <w:tcW w:w="1441" w:type="dxa"/>
          </w:tcPr>
          <w:p w:rsidR="008215AB" w:rsidRDefault="006513FA">
            <w:pPr>
              <w:pStyle w:val="TableParagraph"/>
              <w:spacing w:line="236" w:lineRule="exact"/>
              <w:ind w:left="0" w:right="591"/>
              <w:jc w:val="right"/>
              <w:rPr>
                <w:b/>
                <w:sz w:val="21"/>
              </w:rPr>
            </w:pPr>
            <w:r>
              <w:rPr>
                <w:b/>
                <w:sz w:val="21"/>
              </w:rPr>
              <w:t>50</w:t>
            </w:r>
          </w:p>
        </w:tc>
        <w:tc>
          <w:tcPr>
            <w:tcW w:w="2881" w:type="dxa"/>
          </w:tcPr>
          <w:p w:rsidR="008215AB" w:rsidRDefault="006513FA">
            <w:pPr>
              <w:pStyle w:val="TableParagraph"/>
              <w:spacing w:line="236" w:lineRule="exact"/>
              <w:ind w:left="5"/>
              <w:jc w:val="center"/>
              <w:rPr>
                <w:sz w:val="21"/>
              </w:rPr>
            </w:pPr>
            <w:r>
              <w:rPr>
                <w:sz w:val="21"/>
              </w:rPr>
              <w:t>-</w:t>
            </w:r>
          </w:p>
        </w:tc>
      </w:tr>
      <w:tr w:rsidR="008215AB">
        <w:trPr>
          <w:trHeight w:val="1665"/>
        </w:trPr>
        <w:tc>
          <w:tcPr>
            <w:tcW w:w="540" w:type="dxa"/>
          </w:tcPr>
          <w:p w:rsidR="008215AB" w:rsidRDefault="006513FA">
            <w:pPr>
              <w:pStyle w:val="TableParagraph"/>
              <w:spacing w:line="236" w:lineRule="exact"/>
              <w:rPr>
                <w:sz w:val="21"/>
              </w:rPr>
            </w:pPr>
            <w:r>
              <w:rPr>
                <w:sz w:val="21"/>
              </w:rPr>
              <w:t>5</w:t>
            </w:r>
          </w:p>
        </w:tc>
        <w:tc>
          <w:tcPr>
            <w:tcW w:w="2792" w:type="dxa"/>
          </w:tcPr>
          <w:p w:rsidR="008215AB" w:rsidRDefault="006513FA">
            <w:pPr>
              <w:pStyle w:val="TableParagraph"/>
              <w:spacing w:line="276" w:lineRule="auto"/>
              <w:ind w:right="96"/>
              <w:jc w:val="both"/>
              <w:rPr>
                <w:sz w:val="21"/>
              </w:rPr>
            </w:pPr>
            <w:r>
              <w:rPr>
                <w:sz w:val="21"/>
              </w:rPr>
              <w:t>Highness of inch-kilometre of steel pipeline (including sub-transmission steel pipelines)  to  be  laid</w:t>
            </w:r>
            <w:r>
              <w:rPr>
                <w:spacing w:val="-19"/>
                <w:sz w:val="21"/>
              </w:rPr>
              <w:t xml:space="preserve"> </w:t>
            </w:r>
            <w:r>
              <w:rPr>
                <w:sz w:val="21"/>
              </w:rPr>
              <w:t>within</w:t>
            </w:r>
          </w:p>
          <w:p w:rsidR="008215AB" w:rsidRDefault="006513FA">
            <w:pPr>
              <w:pStyle w:val="TableParagraph"/>
              <w:jc w:val="both"/>
              <w:rPr>
                <w:sz w:val="21"/>
              </w:rPr>
            </w:pPr>
            <w:r>
              <w:rPr>
                <w:sz w:val="21"/>
              </w:rPr>
              <w:t xml:space="preserve">8  contract  years  from </w:t>
            </w:r>
            <w:r>
              <w:rPr>
                <w:spacing w:val="11"/>
                <w:sz w:val="21"/>
              </w:rPr>
              <w:t xml:space="preserve"> </w:t>
            </w:r>
            <w:r>
              <w:rPr>
                <w:sz w:val="21"/>
              </w:rPr>
              <w:t>the</w:t>
            </w:r>
          </w:p>
          <w:p w:rsidR="008215AB" w:rsidRDefault="006513FA">
            <w:pPr>
              <w:pStyle w:val="TableParagraph"/>
              <w:spacing w:before="32"/>
              <w:jc w:val="both"/>
              <w:rPr>
                <w:sz w:val="21"/>
              </w:rPr>
            </w:pPr>
            <w:r>
              <w:rPr>
                <w:sz w:val="21"/>
              </w:rPr>
              <w:t>date of authorisation</w:t>
            </w:r>
          </w:p>
        </w:tc>
        <w:tc>
          <w:tcPr>
            <w:tcW w:w="1441" w:type="dxa"/>
          </w:tcPr>
          <w:p w:rsidR="008215AB" w:rsidRDefault="006513FA">
            <w:pPr>
              <w:pStyle w:val="TableParagraph"/>
              <w:spacing w:line="236" w:lineRule="exact"/>
              <w:ind w:left="0" w:right="591"/>
              <w:jc w:val="right"/>
              <w:rPr>
                <w:b/>
                <w:sz w:val="21"/>
              </w:rPr>
            </w:pPr>
            <w:r>
              <w:rPr>
                <w:b/>
                <w:sz w:val="21"/>
              </w:rPr>
              <w:t>10</w:t>
            </w:r>
          </w:p>
        </w:tc>
        <w:tc>
          <w:tcPr>
            <w:tcW w:w="2881" w:type="dxa"/>
          </w:tcPr>
          <w:p w:rsidR="008215AB" w:rsidRDefault="006513FA">
            <w:pPr>
              <w:pStyle w:val="TableParagraph"/>
              <w:spacing w:line="236" w:lineRule="exact"/>
              <w:ind w:left="5"/>
              <w:jc w:val="center"/>
              <w:rPr>
                <w:sz w:val="21"/>
              </w:rPr>
            </w:pPr>
            <w:r>
              <w:rPr>
                <w:sz w:val="21"/>
              </w:rPr>
              <w:t>-</w:t>
            </w:r>
          </w:p>
        </w:tc>
      </w:tr>
      <w:tr w:rsidR="008215AB">
        <w:trPr>
          <w:trHeight w:val="1668"/>
        </w:trPr>
        <w:tc>
          <w:tcPr>
            <w:tcW w:w="7654" w:type="dxa"/>
            <w:gridSpan w:val="4"/>
          </w:tcPr>
          <w:p w:rsidR="008215AB" w:rsidRDefault="006513FA">
            <w:pPr>
              <w:pStyle w:val="TableParagraph"/>
              <w:spacing w:line="276" w:lineRule="auto"/>
              <w:ind w:right="99"/>
              <w:jc w:val="both"/>
              <w:rPr>
                <w:sz w:val="21"/>
              </w:rPr>
            </w:pPr>
            <w:r>
              <w:rPr>
                <w:sz w:val="21"/>
              </w:rPr>
              <w:t xml:space="preserve">Note – Annual escalation shall be considered from the second contract year </w:t>
            </w:r>
            <w:r>
              <w:rPr>
                <w:sz w:val="21"/>
              </w:rPr>
              <w:t>and</w:t>
            </w:r>
            <w:r>
              <w:rPr>
                <w:spacing w:val="6"/>
                <w:sz w:val="21"/>
              </w:rPr>
              <w:t xml:space="preserve"> </w:t>
            </w:r>
            <w:r>
              <w:rPr>
                <w:spacing w:val="-3"/>
                <w:sz w:val="21"/>
              </w:rPr>
              <w:t>o</w:t>
            </w:r>
            <w:r>
              <w:rPr>
                <w:sz w:val="21"/>
              </w:rPr>
              <w:t>n</w:t>
            </w:r>
            <w:r>
              <w:rPr>
                <w:spacing w:val="-2"/>
                <w:sz w:val="21"/>
              </w:rPr>
              <w:t>w</w:t>
            </w:r>
            <w:r>
              <w:rPr>
                <w:sz w:val="21"/>
              </w:rPr>
              <w:t>ards</w:t>
            </w:r>
            <w:r>
              <w:rPr>
                <w:spacing w:val="5"/>
                <w:sz w:val="21"/>
              </w:rPr>
              <w:t xml:space="preserve"> </w:t>
            </w:r>
            <w:r>
              <w:rPr>
                <w:spacing w:val="-3"/>
                <w:sz w:val="21"/>
              </w:rPr>
              <w:t>b</w:t>
            </w:r>
            <w:r>
              <w:rPr>
                <w:sz w:val="21"/>
              </w:rPr>
              <w:t>as</w:t>
            </w:r>
            <w:r>
              <w:rPr>
                <w:spacing w:val="-3"/>
                <w:sz w:val="21"/>
              </w:rPr>
              <w:t>e</w:t>
            </w:r>
            <w:r>
              <w:rPr>
                <w:sz w:val="21"/>
              </w:rPr>
              <w:t>d</w:t>
            </w:r>
            <w:r>
              <w:rPr>
                <w:spacing w:val="7"/>
                <w:sz w:val="21"/>
              </w:rPr>
              <w:t xml:space="preserve"> </w:t>
            </w:r>
            <w:r>
              <w:rPr>
                <w:spacing w:val="-1"/>
                <w:sz w:val="21"/>
              </w:rPr>
              <w:t>o</w:t>
            </w:r>
            <w:r>
              <w:rPr>
                <w:sz w:val="21"/>
              </w:rPr>
              <w:t>n</w:t>
            </w:r>
            <w:r>
              <w:rPr>
                <w:spacing w:val="6"/>
                <w:sz w:val="21"/>
              </w:rPr>
              <w:t xml:space="preserve"> </w:t>
            </w:r>
            <w:r>
              <w:rPr>
                <w:spacing w:val="-2"/>
                <w:sz w:val="21"/>
              </w:rPr>
              <w:t>t</w:t>
            </w:r>
            <w:r>
              <w:rPr>
                <w:spacing w:val="-3"/>
                <w:sz w:val="21"/>
              </w:rPr>
              <w:t>h</w:t>
            </w:r>
            <w:r>
              <w:rPr>
                <w:sz w:val="21"/>
              </w:rPr>
              <w:t>e</w:t>
            </w:r>
            <w:r>
              <w:rPr>
                <w:spacing w:val="6"/>
                <w:sz w:val="21"/>
              </w:rPr>
              <w:t xml:space="preserve"> </w:t>
            </w:r>
            <w:r>
              <w:rPr>
                <w:spacing w:val="-6"/>
                <w:w w:val="33"/>
                <w:sz w:val="21"/>
              </w:rPr>
              <w:t>―</w:t>
            </w:r>
            <w:r>
              <w:rPr>
                <w:spacing w:val="6"/>
                <w:sz w:val="21"/>
              </w:rPr>
              <w:t>W</w:t>
            </w:r>
            <w:r>
              <w:rPr>
                <w:spacing w:val="-3"/>
                <w:sz w:val="21"/>
              </w:rPr>
              <w:t>ho</w:t>
            </w:r>
            <w:r>
              <w:rPr>
                <w:sz w:val="21"/>
              </w:rPr>
              <w:t>l</w:t>
            </w:r>
            <w:r>
              <w:rPr>
                <w:spacing w:val="-1"/>
                <w:sz w:val="21"/>
              </w:rPr>
              <w:t>e</w:t>
            </w:r>
            <w:r>
              <w:rPr>
                <w:spacing w:val="-3"/>
                <w:sz w:val="21"/>
              </w:rPr>
              <w:t>s</w:t>
            </w:r>
            <w:r>
              <w:rPr>
                <w:spacing w:val="-1"/>
                <w:sz w:val="21"/>
              </w:rPr>
              <w:t>a</w:t>
            </w:r>
            <w:r>
              <w:rPr>
                <w:spacing w:val="-2"/>
                <w:sz w:val="21"/>
              </w:rPr>
              <w:t>l</w:t>
            </w:r>
            <w:r>
              <w:rPr>
                <w:sz w:val="21"/>
              </w:rPr>
              <w:t>e</w:t>
            </w:r>
            <w:r>
              <w:rPr>
                <w:spacing w:val="6"/>
                <w:sz w:val="21"/>
              </w:rPr>
              <w:t xml:space="preserve"> </w:t>
            </w:r>
            <w:r>
              <w:rPr>
                <w:sz w:val="21"/>
              </w:rPr>
              <w:t>P</w:t>
            </w:r>
            <w:r>
              <w:rPr>
                <w:spacing w:val="-1"/>
                <w:sz w:val="21"/>
              </w:rPr>
              <w:t>r</w:t>
            </w:r>
            <w:r>
              <w:rPr>
                <w:spacing w:val="-2"/>
                <w:sz w:val="21"/>
              </w:rPr>
              <w:t>i</w:t>
            </w:r>
            <w:r>
              <w:rPr>
                <w:sz w:val="21"/>
              </w:rPr>
              <w:t>ce</w:t>
            </w:r>
            <w:r>
              <w:rPr>
                <w:spacing w:val="6"/>
                <w:sz w:val="21"/>
              </w:rPr>
              <w:t xml:space="preserve"> </w:t>
            </w:r>
            <w:r>
              <w:rPr>
                <w:spacing w:val="-2"/>
                <w:sz w:val="21"/>
              </w:rPr>
              <w:t>I</w:t>
            </w:r>
            <w:r>
              <w:rPr>
                <w:spacing w:val="-1"/>
                <w:sz w:val="21"/>
              </w:rPr>
              <w:t>n</w:t>
            </w:r>
            <w:r>
              <w:rPr>
                <w:spacing w:val="-3"/>
                <w:sz w:val="21"/>
              </w:rPr>
              <w:t>d</w:t>
            </w:r>
            <w:r>
              <w:rPr>
                <w:spacing w:val="-1"/>
                <w:sz w:val="21"/>
              </w:rPr>
              <w:t>e</w:t>
            </w:r>
            <w:r>
              <w:rPr>
                <w:sz w:val="21"/>
              </w:rPr>
              <w:t>x</w:t>
            </w:r>
            <w:r>
              <w:rPr>
                <w:spacing w:val="3"/>
                <w:sz w:val="21"/>
              </w:rPr>
              <w:t xml:space="preserve"> </w:t>
            </w:r>
            <w:r>
              <w:rPr>
                <w:spacing w:val="-6"/>
                <w:sz w:val="21"/>
              </w:rPr>
              <w:t>(</w:t>
            </w:r>
            <w:r>
              <w:rPr>
                <w:spacing w:val="6"/>
                <w:sz w:val="21"/>
              </w:rPr>
              <w:t>W</w:t>
            </w:r>
            <w:r>
              <w:rPr>
                <w:spacing w:val="-2"/>
                <w:sz w:val="21"/>
              </w:rPr>
              <w:t>PI</w:t>
            </w:r>
            <w:r>
              <w:rPr>
                <w:sz w:val="21"/>
              </w:rPr>
              <w:t>)</w:t>
            </w:r>
            <w:r>
              <w:rPr>
                <w:spacing w:val="5"/>
                <w:sz w:val="21"/>
              </w:rPr>
              <w:t xml:space="preserve"> </w:t>
            </w:r>
            <w:r>
              <w:rPr>
                <w:sz w:val="21"/>
              </w:rPr>
              <w:t>D</w:t>
            </w:r>
            <w:r>
              <w:rPr>
                <w:spacing w:val="-1"/>
                <w:sz w:val="21"/>
              </w:rPr>
              <w:t>at</w:t>
            </w:r>
            <w:r>
              <w:rPr>
                <w:sz w:val="21"/>
              </w:rPr>
              <w:t>a</w:t>
            </w:r>
            <w:r>
              <w:rPr>
                <w:spacing w:val="6"/>
                <w:sz w:val="21"/>
              </w:rPr>
              <w:t xml:space="preserve"> </w:t>
            </w:r>
            <w:r>
              <w:rPr>
                <w:spacing w:val="-4"/>
                <w:sz w:val="21"/>
              </w:rPr>
              <w:t>(</w:t>
            </w:r>
            <w:r>
              <w:rPr>
                <w:spacing w:val="-1"/>
                <w:sz w:val="21"/>
              </w:rPr>
              <w:t>20</w:t>
            </w:r>
            <w:r>
              <w:rPr>
                <w:spacing w:val="-2"/>
                <w:sz w:val="21"/>
              </w:rPr>
              <w:t>1</w:t>
            </w:r>
            <w:r>
              <w:rPr>
                <w:spacing w:val="3"/>
                <w:sz w:val="21"/>
              </w:rPr>
              <w:t>1</w:t>
            </w:r>
            <w:r>
              <w:rPr>
                <w:spacing w:val="-1"/>
                <w:sz w:val="21"/>
              </w:rPr>
              <w:t>-1</w:t>
            </w:r>
            <w:r>
              <w:rPr>
                <w:sz w:val="21"/>
              </w:rPr>
              <w:t>2</w:t>
            </w:r>
            <w:r>
              <w:rPr>
                <w:spacing w:val="6"/>
                <w:sz w:val="21"/>
              </w:rPr>
              <w:t xml:space="preserve"> </w:t>
            </w:r>
            <w:r>
              <w:rPr>
                <w:spacing w:val="-1"/>
                <w:sz w:val="21"/>
              </w:rPr>
              <w:t>=</w:t>
            </w:r>
            <w:r>
              <w:rPr>
                <w:spacing w:val="-3"/>
                <w:sz w:val="21"/>
              </w:rPr>
              <w:t>10</w:t>
            </w:r>
            <w:r>
              <w:rPr>
                <w:spacing w:val="-1"/>
                <w:w w:val="94"/>
                <w:sz w:val="21"/>
              </w:rPr>
              <w:t xml:space="preserve">0)‖ </w:t>
            </w:r>
            <w:r>
              <w:rPr>
                <w:spacing w:val="1"/>
                <w:sz w:val="21"/>
              </w:rPr>
              <w:t>f</w:t>
            </w:r>
            <w:r>
              <w:rPr>
                <w:spacing w:val="-1"/>
                <w:sz w:val="21"/>
              </w:rPr>
              <w:t>o</w:t>
            </w:r>
            <w:r>
              <w:rPr>
                <w:sz w:val="21"/>
              </w:rPr>
              <w:t>r</w:t>
            </w:r>
            <w:r>
              <w:rPr>
                <w:sz w:val="21"/>
              </w:rPr>
              <w:t xml:space="preserve"> </w:t>
            </w:r>
            <w:r>
              <w:rPr>
                <w:spacing w:val="-1"/>
                <w:w w:val="33"/>
                <w:sz w:val="21"/>
              </w:rPr>
              <w:t>―</w:t>
            </w:r>
            <w:r>
              <w:rPr>
                <w:spacing w:val="-2"/>
                <w:sz w:val="21"/>
              </w:rPr>
              <w:t>A</w:t>
            </w:r>
            <w:r>
              <w:rPr>
                <w:sz w:val="21"/>
              </w:rPr>
              <w:t>ll</w:t>
            </w:r>
            <w:r>
              <w:rPr>
                <w:spacing w:val="2"/>
                <w:sz w:val="21"/>
              </w:rPr>
              <w:t xml:space="preserve"> </w:t>
            </w:r>
            <w:r>
              <w:rPr>
                <w:spacing w:val="-2"/>
                <w:sz w:val="21"/>
              </w:rPr>
              <w:t>G</w:t>
            </w:r>
            <w:r>
              <w:rPr>
                <w:spacing w:val="-4"/>
                <w:sz w:val="21"/>
              </w:rPr>
              <w:t>r</w:t>
            </w:r>
            <w:r>
              <w:rPr>
                <w:spacing w:val="-1"/>
                <w:sz w:val="21"/>
              </w:rPr>
              <w:t>oup</w:t>
            </w:r>
            <w:r>
              <w:rPr>
                <w:sz w:val="21"/>
              </w:rPr>
              <w:t>/</w:t>
            </w:r>
            <w:r>
              <w:rPr>
                <w:spacing w:val="-2"/>
                <w:sz w:val="21"/>
              </w:rPr>
              <w:t xml:space="preserve"> </w:t>
            </w:r>
            <w:r>
              <w:rPr>
                <w:sz w:val="21"/>
              </w:rPr>
              <w:t>C</w:t>
            </w:r>
            <w:r>
              <w:rPr>
                <w:spacing w:val="-3"/>
                <w:sz w:val="21"/>
              </w:rPr>
              <w:t>o</w:t>
            </w:r>
            <w:r>
              <w:rPr>
                <w:spacing w:val="-1"/>
                <w:sz w:val="21"/>
              </w:rPr>
              <w:t>mmod</w:t>
            </w:r>
            <w:r>
              <w:rPr>
                <w:spacing w:val="1"/>
                <w:sz w:val="21"/>
              </w:rPr>
              <w:t>i</w:t>
            </w:r>
            <w:r>
              <w:rPr>
                <w:spacing w:val="-2"/>
                <w:sz w:val="21"/>
              </w:rPr>
              <w:t>t</w:t>
            </w:r>
            <w:r>
              <w:rPr>
                <w:spacing w:val="-3"/>
                <w:sz w:val="21"/>
              </w:rPr>
              <w:t>y</w:t>
            </w:r>
            <w:r>
              <w:rPr>
                <w:spacing w:val="-1"/>
                <w:w w:val="81"/>
                <w:sz w:val="21"/>
              </w:rPr>
              <w:t>‖</w:t>
            </w:r>
            <w:r>
              <w:rPr>
                <w:sz w:val="21"/>
              </w:rPr>
              <w:t>,</w:t>
            </w:r>
            <w:r>
              <w:rPr>
                <w:sz w:val="21"/>
              </w:rPr>
              <w:t xml:space="preserve"> </w:t>
            </w:r>
            <w:r>
              <w:rPr>
                <w:spacing w:val="-1"/>
                <w:sz w:val="21"/>
              </w:rPr>
              <w:t>a</w:t>
            </w:r>
            <w:r>
              <w:rPr>
                <w:sz w:val="21"/>
              </w:rPr>
              <w:t>s</w:t>
            </w:r>
            <w:r>
              <w:rPr>
                <w:spacing w:val="1"/>
                <w:sz w:val="21"/>
              </w:rPr>
              <w:t xml:space="preserve"> </w:t>
            </w:r>
            <w:r>
              <w:rPr>
                <w:spacing w:val="-1"/>
                <w:sz w:val="21"/>
              </w:rPr>
              <w:t>no</w:t>
            </w:r>
            <w:r>
              <w:rPr>
                <w:spacing w:val="-3"/>
                <w:sz w:val="21"/>
              </w:rPr>
              <w:t>r</w:t>
            </w:r>
            <w:r>
              <w:rPr>
                <w:spacing w:val="1"/>
                <w:sz w:val="21"/>
              </w:rPr>
              <w:t>m</w:t>
            </w:r>
            <w:r>
              <w:rPr>
                <w:spacing w:val="-3"/>
                <w:sz w:val="21"/>
              </w:rPr>
              <w:t>a</w:t>
            </w:r>
            <w:r>
              <w:rPr>
                <w:sz w:val="21"/>
              </w:rPr>
              <w:t>lly</w:t>
            </w:r>
            <w:r>
              <w:rPr>
                <w:spacing w:val="-1"/>
                <w:sz w:val="21"/>
              </w:rPr>
              <w:t xml:space="preserve"> </w:t>
            </w:r>
            <w:r>
              <w:rPr>
                <w:spacing w:val="-1"/>
                <w:sz w:val="21"/>
              </w:rPr>
              <w:t>a</w:t>
            </w:r>
            <w:r>
              <w:rPr>
                <w:spacing w:val="-3"/>
                <w:sz w:val="21"/>
              </w:rPr>
              <w:t>v</w:t>
            </w:r>
            <w:r>
              <w:rPr>
                <w:spacing w:val="-1"/>
                <w:sz w:val="21"/>
              </w:rPr>
              <w:t>a</w:t>
            </w:r>
            <w:r>
              <w:rPr>
                <w:spacing w:val="1"/>
                <w:sz w:val="21"/>
              </w:rPr>
              <w:t>i</w:t>
            </w:r>
            <w:r>
              <w:rPr>
                <w:spacing w:val="-2"/>
                <w:sz w:val="21"/>
              </w:rPr>
              <w:t>l</w:t>
            </w:r>
            <w:r>
              <w:rPr>
                <w:spacing w:val="-1"/>
                <w:sz w:val="21"/>
              </w:rPr>
              <w:t>a</w:t>
            </w:r>
            <w:r>
              <w:rPr>
                <w:spacing w:val="-3"/>
                <w:sz w:val="21"/>
              </w:rPr>
              <w:t>b</w:t>
            </w:r>
            <w:r>
              <w:rPr>
                <w:sz w:val="21"/>
              </w:rPr>
              <w:t>le</w:t>
            </w:r>
            <w:r>
              <w:rPr>
                <w:spacing w:val="1"/>
                <w:sz w:val="21"/>
              </w:rPr>
              <w:t xml:space="preserve"> </w:t>
            </w:r>
            <w:r>
              <w:rPr>
                <w:spacing w:val="-3"/>
                <w:sz w:val="21"/>
              </w:rPr>
              <w:t>o</w:t>
            </w:r>
            <w:r>
              <w:rPr>
                <w:sz w:val="21"/>
              </w:rPr>
              <w:t>n</w:t>
            </w:r>
            <w:r>
              <w:rPr>
                <w:spacing w:val="-1"/>
                <w:sz w:val="21"/>
              </w:rPr>
              <w:t xml:space="preserve"> </w:t>
            </w:r>
            <w:r>
              <w:rPr>
                <w:spacing w:val="-2"/>
                <w:sz w:val="21"/>
              </w:rPr>
              <w:t>t</w:t>
            </w:r>
            <w:r>
              <w:rPr>
                <w:spacing w:val="-1"/>
                <w:sz w:val="21"/>
              </w:rPr>
              <w:t>h</w:t>
            </w:r>
            <w:r>
              <w:rPr>
                <w:sz w:val="21"/>
              </w:rPr>
              <w:t>e</w:t>
            </w:r>
            <w:r>
              <w:rPr>
                <w:spacing w:val="1"/>
                <w:sz w:val="21"/>
              </w:rPr>
              <w:t xml:space="preserve"> </w:t>
            </w:r>
            <w:r>
              <w:rPr>
                <w:spacing w:val="-2"/>
                <w:sz w:val="21"/>
              </w:rPr>
              <w:t>w</w:t>
            </w:r>
            <w:r>
              <w:rPr>
                <w:spacing w:val="-1"/>
                <w:sz w:val="21"/>
              </w:rPr>
              <w:t>eb</w:t>
            </w:r>
            <w:r>
              <w:rPr>
                <w:spacing w:val="-3"/>
                <w:sz w:val="21"/>
              </w:rPr>
              <w:t>s</w:t>
            </w:r>
            <w:r>
              <w:rPr>
                <w:sz w:val="21"/>
              </w:rPr>
              <w:t>i</w:t>
            </w:r>
            <w:r>
              <w:rPr>
                <w:spacing w:val="-2"/>
                <w:sz w:val="21"/>
              </w:rPr>
              <w:t>t</w:t>
            </w:r>
            <w:r>
              <w:rPr>
                <w:sz w:val="21"/>
              </w:rPr>
              <w:t>e</w:t>
            </w:r>
            <w:r>
              <w:rPr>
                <w:spacing w:val="1"/>
                <w:sz w:val="21"/>
              </w:rPr>
              <w:t xml:space="preserve"> </w:t>
            </w:r>
            <w:r>
              <w:rPr>
                <w:spacing w:val="-3"/>
                <w:sz w:val="21"/>
              </w:rPr>
              <w:t>o</w:t>
            </w:r>
            <w:r>
              <w:rPr>
                <w:sz w:val="21"/>
              </w:rPr>
              <w:t>f</w:t>
            </w:r>
            <w:r>
              <w:rPr>
                <w:spacing w:val="2"/>
                <w:sz w:val="21"/>
              </w:rPr>
              <w:t xml:space="preserve"> </w:t>
            </w:r>
            <w:r>
              <w:rPr>
                <w:spacing w:val="-2"/>
                <w:sz w:val="21"/>
              </w:rPr>
              <w:t>t</w:t>
            </w:r>
            <w:r>
              <w:rPr>
                <w:spacing w:val="-1"/>
                <w:sz w:val="21"/>
              </w:rPr>
              <w:t>h</w:t>
            </w:r>
            <w:r>
              <w:rPr>
                <w:sz w:val="21"/>
              </w:rPr>
              <w:t>e</w:t>
            </w:r>
            <w:r>
              <w:rPr>
                <w:spacing w:val="1"/>
                <w:sz w:val="21"/>
              </w:rPr>
              <w:t xml:space="preserve"> </w:t>
            </w:r>
            <w:r>
              <w:rPr>
                <w:spacing w:val="-2"/>
                <w:sz w:val="21"/>
              </w:rPr>
              <w:t>Off</w:t>
            </w:r>
            <w:r>
              <w:rPr>
                <w:sz w:val="21"/>
              </w:rPr>
              <w:t>ice</w:t>
            </w:r>
            <w:r>
              <w:rPr>
                <w:spacing w:val="-1"/>
                <w:sz w:val="21"/>
              </w:rPr>
              <w:t xml:space="preserve"> </w:t>
            </w:r>
            <w:r>
              <w:rPr>
                <w:spacing w:val="-3"/>
                <w:sz w:val="21"/>
              </w:rPr>
              <w:t>o</w:t>
            </w:r>
            <w:r>
              <w:rPr>
                <w:sz w:val="21"/>
              </w:rPr>
              <w:t xml:space="preserve">f </w:t>
            </w:r>
            <w:r>
              <w:rPr>
                <w:sz w:val="21"/>
              </w:rPr>
              <w:t>the Economic Adviser, Government of India, Ministry of Commerce and Industry, Department of Industrial Policy and Promotion (DIPP) on the</w:t>
            </w:r>
            <w:r>
              <w:rPr>
                <w:spacing w:val="28"/>
                <w:sz w:val="21"/>
              </w:rPr>
              <w:t xml:space="preserve"> </w:t>
            </w:r>
            <w:r>
              <w:rPr>
                <w:sz w:val="21"/>
              </w:rPr>
              <w:t>link</w:t>
            </w:r>
          </w:p>
          <w:p w:rsidR="008215AB" w:rsidRDefault="006513FA">
            <w:pPr>
              <w:pStyle w:val="TableParagraph"/>
              <w:spacing w:line="241" w:lineRule="exact"/>
              <w:rPr>
                <w:sz w:val="21"/>
              </w:rPr>
            </w:pPr>
            <w:r>
              <w:rPr>
                <w:spacing w:val="-1"/>
                <w:w w:val="33"/>
                <w:sz w:val="21"/>
              </w:rPr>
              <w:t>―</w:t>
            </w:r>
            <w:hyperlink r:id="rId8">
              <w:r>
                <w:rPr>
                  <w:sz w:val="21"/>
                </w:rPr>
                <w:t>h</w:t>
              </w:r>
              <w:r>
                <w:rPr>
                  <w:spacing w:val="-1"/>
                  <w:sz w:val="21"/>
                </w:rPr>
                <w:t>t</w:t>
              </w:r>
              <w:r>
                <w:rPr>
                  <w:spacing w:val="-2"/>
                  <w:sz w:val="21"/>
                </w:rPr>
                <w:t>t</w:t>
              </w:r>
              <w:r>
                <w:rPr>
                  <w:sz w:val="21"/>
                </w:rPr>
                <w:t>p</w:t>
              </w:r>
              <w:r>
                <w:rPr>
                  <w:spacing w:val="-1"/>
                  <w:sz w:val="21"/>
                </w:rPr>
                <w:t>:</w:t>
              </w:r>
              <w:r>
                <w:rPr>
                  <w:spacing w:val="-2"/>
                  <w:sz w:val="21"/>
                </w:rPr>
                <w:t>//</w:t>
              </w:r>
              <w:r>
                <w:rPr>
                  <w:sz w:val="21"/>
                </w:rPr>
                <w:t>ea</w:t>
              </w:r>
              <w:r>
                <w:rPr>
                  <w:spacing w:val="1"/>
                  <w:sz w:val="21"/>
                </w:rPr>
                <w:t>i</w:t>
              </w:r>
              <w:r>
                <w:rPr>
                  <w:sz w:val="21"/>
                </w:rPr>
                <w:t>ndust</w:t>
              </w:r>
              <w:r>
                <w:rPr>
                  <w:spacing w:val="-2"/>
                  <w:sz w:val="21"/>
                </w:rPr>
                <w:t>r</w:t>
              </w:r>
              <w:r>
                <w:rPr>
                  <w:spacing w:val="-3"/>
                  <w:sz w:val="21"/>
                </w:rPr>
                <w:t>y</w:t>
              </w:r>
              <w:r>
                <w:rPr>
                  <w:spacing w:val="-2"/>
                  <w:sz w:val="21"/>
                </w:rPr>
                <w:t>.</w:t>
              </w:r>
              <w:r>
                <w:rPr>
                  <w:sz w:val="21"/>
                </w:rPr>
                <w:t>n</w:t>
              </w:r>
              <w:r>
                <w:rPr>
                  <w:spacing w:val="1"/>
                  <w:sz w:val="21"/>
                </w:rPr>
                <w:t>i</w:t>
              </w:r>
              <w:r>
                <w:rPr>
                  <w:sz w:val="21"/>
                </w:rPr>
                <w:t>c</w:t>
              </w:r>
              <w:r>
                <w:rPr>
                  <w:spacing w:val="-2"/>
                  <w:sz w:val="21"/>
                </w:rPr>
                <w:t>.i</w:t>
              </w:r>
              <w:r>
                <w:rPr>
                  <w:sz w:val="21"/>
                </w:rPr>
                <w:t>n</w:t>
              </w:r>
              <w:r>
                <w:rPr>
                  <w:spacing w:val="-1"/>
                  <w:sz w:val="21"/>
                </w:rPr>
                <w:t>/</w:t>
              </w:r>
              <w:r>
                <w:rPr>
                  <w:sz w:val="21"/>
                </w:rPr>
                <w:t>h</w:t>
              </w:r>
              <w:r>
                <w:rPr>
                  <w:spacing w:val="-3"/>
                  <w:sz w:val="21"/>
                </w:rPr>
                <w:t>o</w:t>
              </w:r>
              <w:r>
                <w:rPr>
                  <w:spacing w:val="1"/>
                  <w:sz w:val="21"/>
                </w:rPr>
                <w:t>m</w:t>
              </w:r>
              <w:r>
                <w:rPr>
                  <w:sz w:val="21"/>
                </w:rPr>
                <w:t>e</w:t>
              </w:r>
              <w:r>
                <w:rPr>
                  <w:spacing w:val="-1"/>
                  <w:sz w:val="21"/>
                </w:rPr>
                <w:t>.</w:t>
              </w:r>
              <w:r>
                <w:rPr>
                  <w:spacing w:val="-3"/>
                  <w:sz w:val="21"/>
                </w:rPr>
                <w:t>a</w:t>
              </w:r>
              <w:r>
                <w:rPr>
                  <w:sz w:val="21"/>
                </w:rPr>
                <w:t>sp</w:t>
              </w:r>
              <w:r>
                <w:rPr>
                  <w:spacing w:val="-2"/>
                  <w:sz w:val="21"/>
                </w:rPr>
                <w:t>.</w:t>
              </w:r>
            </w:hyperlink>
            <w:r>
              <w:rPr>
                <w:w w:val="81"/>
                <w:sz w:val="21"/>
              </w:rPr>
              <w:t>‖</w:t>
            </w:r>
          </w:p>
        </w:tc>
      </w:tr>
    </w:tbl>
    <w:p w:rsidR="008215AB" w:rsidRDefault="008215AB">
      <w:pPr>
        <w:spacing w:line="241" w:lineRule="exact"/>
        <w:rPr>
          <w:sz w:val="21"/>
        </w:rPr>
        <w:sectPr w:rsidR="008215AB">
          <w:pgSz w:w="11910" w:h="16840"/>
          <w:pgMar w:top="1580" w:right="1320" w:bottom="1220" w:left="940" w:header="0" w:footer="1034" w:gutter="0"/>
          <w:cols w:space="720"/>
        </w:sectPr>
      </w:pPr>
    </w:p>
    <w:p w:rsidR="008215AB" w:rsidRDefault="006513FA">
      <w:pPr>
        <w:spacing w:before="76" w:line="276" w:lineRule="auto"/>
        <w:ind w:left="1311" w:right="682"/>
        <w:jc w:val="both"/>
        <w:rPr>
          <w:sz w:val="21"/>
        </w:rPr>
      </w:pPr>
      <w:r>
        <w:rPr>
          <w:sz w:val="21"/>
        </w:rPr>
        <w:t xml:space="preserve">Provided that in the case of the geographical areas of (i) Bilaspur, Hamirpur and Una Districts; (ii) Panchkula (Except area already authorised), Shimla, Solan and Sirmaur Districts and (iii) Barmer, Jaisalmer and Jodhpur Districts, it is not mandatory to </w:t>
      </w:r>
      <w:r>
        <w:rPr>
          <w:sz w:val="21"/>
        </w:rPr>
        <w:t>supply natural gas through steel-pipes. However natural gas has to reach in all charge areas. The bidding parameters and their respective weightage will, accordingly, be as under:-</w:t>
      </w:r>
    </w:p>
    <w:p w:rsidR="008215AB" w:rsidRDefault="008215AB">
      <w:pPr>
        <w:pStyle w:val="BodyText"/>
        <w:spacing w:before="7" w:after="1"/>
        <w:rPr>
          <w:sz w:val="24"/>
        </w:rPr>
      </w:pPr>
    </w:p>
    <w:tbl>
      <w:tblPr>
        <w:tblW w:w="0" w:type="auto"/>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612"/>
        <w:gridCol w:w="1621"/>
        <w:gridCol w:w="2881"/>
      </w:tblGrid>
      <w:tr w:rsidR="008215AB">
        <w:trPr>
          <w:trHeight w:val="556"/>
        </w:trPr>
        <w:tc>
          <w:tcPr>
            <w:tcW w:w="540" w:type="dxa"/>
          </w:tcPr>
          <w:p w:rsidR="008215AB" w:rsidRDefault="006513FA">
            <w:pPr>
              <w:pStyle w:val="TableParagraph"/>
              <w:spacing w:line="236" w:lineRule="exact"/>
              <w:ind w:left="141"/>
              <w:rPr>
                <w:b/>
                <w:sz w:val="21"/>
              </w:rPr>
            </w:pPr>
            <w:r>
              <w:rPr>
                <w:b/>
                <w:sz w:val="21"/>
              </w:rPr>
              <w:t>Sl.</w:t>
            </w:r>
          </w:p>
          <w:p w:rsidR="008215AB" w:rsidRDefault="006513FA">
            <w:pPr>
              <w:pStyle w:val="TableParagraph"/>
              <w:spacing w:before="37"/>
              <w:ind w:left="129"/>
              <w:rPr>
                <w:b/>
                <w:sz w:val="21"/>
              </w:rPr>
            </w:pPr>
            <w:r>
              <w:rPr>
                <w:b/>
                <w:sz w:val="21"/>
              </w:rPr>
              <w:t>No</w:t>
            </w:r>
          </w:p>
        </w:tc>
        <w:tc>
          <w:tcPr>
            <w:tcW w:w="2612" w:type="dxa"/>
          </w:tcPr>
          <w:p w:rsidR="008215AB" w:rsidRDefault="006513FA">
            <w:pPr>
              <w:pStyle w:val="TableParagraph"/>
              <w:spacing w:line="236" w:lineRule="exact"/>
              <w:ind w:left="515"/>
              <w:rPr>
                <w:b/>
                <w:sz w:val="21"/>
              </w:rPr>
            </w:pPr>
            <w:r>
              <w:rPr>
                <w:b/>
                <w:sz w:val="21"/>
              </w:rPr>
              <w:t>Bidding Criteria</w:t>
            </w:r>
          </w:p>
        </w:tc>
        <w:tc>
          <w:tcPr>
            <w:tcW w:w="1621" w:type="dxa"/>
          </w:tcPr>
          <w:p w:rsidR="008215AB" w:rsidRDefault="006513FA">
            <w:pPr>
              <w:pStyle w:val="TableParagraph"/>
              <w:spacing w:line="236" w:lineRule="exact"/>
              <w:ind w:left="258" w:right="251"/>
              <w:jc w:val="center"/>
              <w:rPr>
                <w:b/>
                <w:sz w:val="21"/>
              </w:rPr>
            </w:pPr>
            <w:r>
              <w:rPr>
                <w:b/>
                <w:sz w:val="21"/>
              </w:rPr>
              <w:t>Weightage</w:t>
            </w:r>
          </w:p>
          <w:p w:rsidR="008215AB" w:rsidRDefault="006513FA">
            <w:pPr>
              <w:pStyle w:val="TableParagraph"/>
              <w:spacing w:before="37"/>
              <w:ind w:left="6"/>
              <w:jc w:val="center"/>
              <w:rPr>
                <w:b/>
                <w:sz w:val="21"/>
              </w:rPr>
            </w:pPr>
            <w:r>
              <w:rPr>
                <w:b/>
                <w:sz w:val="21"/>
              </w:rPr>
              <w:t>%</w:t>
            </w:r>
          </w:p>
        </w:tc>
        <w:tc>
          <w:tcPr>
            <w:tcW w:w="2881" w:type="dxa"/>
          </w:tcPr>
          <w:p w:rsidR="008215AB" w:rsidRDefault="006513FA">
            <w:pPr>
              <w:pStyle w:val="TableParagraph"/>
              <w:spacing w:line="236" w:lineRule="exact"/>
              <w:ind w:left="823" w:right="816"/>
              <w:jc w:val="center"/>
              <w:rPr>
                <w:b/>
                <w:sz w:val="21"/>
              </w:rPr>
            </w:pPr>
            <w:r>
              <w:rPr>
                <w:b/>
                <w:sz w:val="21"/>
              </w:rPr>
              <w:t>Explanation</w:t>
            </w:r>
          </w:p>
        </w:tc>
      </w:tr>
      <w:tr w:rsidR="008215AB">
        <w:trPr>
          <w:trHeight w:val="2498"/>
        </w:trPr>
        <w:tc>
          <w:tcPr>
            <w:tcW w:w="540" w:type="dxa"/>
          </w:tcPr>
          <w:p w:rsidR="008215AB" w:rsidRDefault="006513FA">
            <w:pPr>
              <w:pStyle w:val="TableParagraph"/>
              <w:spacing w:line="236" w:lineRule="exact"/>
              <w:rPr>
                <w:sz w:val="21"/>
              </w:rPr>
            </w:pPr>
            <w:r>
              <w:rPr>
                <w:sz w:val="21"/>
              </w:rPr>
              <w:t>1</w:t>
            </w:r>
          </w:p>
        </w:tc>
        <w:tc>
          <w:tcPr>
            <w:tcW w:w="2612" w:type="dxa"/>
          </w:tcPr>
          <w:p w:rsidR="008215AB" w:rsidRDefault="006513FA">
            <w:pPr>
              <w:pStyle w:val="TableParagraph"/>
              <w:tabs>
                <w:tab w:val="left" w:pos="2328"/>
              </w:tabs>
              <w:spacing w:line="236" w:lineRule="exact"/>
              <w:jc w:val="both"/>
              <w:rPr>
                <w:sz w:val="21"/>
              </w:rPr>
            </w:pPr>
            <w:r>
              <w:rPr>
                <w:sz w:val="21"/>
              </w:rPr>
              <w:t>Lowness</w:t>
            </w:r>
            <w:r>
              <w:rPr>
                <w:sz w:val="21"/>
              </w:rPr>
              <w:tab/>
              <w:t>of</w:t>
            </w:r>
          </w:p>
          <w:p w:rsidR="008215AB" w:rsidRDefault="006513FA">
            <w:pPr>
              <w:pStyle w:val="TableParagraph"/>
              <w:spacing w:before="34" w:line="276" w:lineRule="auto"/>
              <w:ind w:right="96"/>
              <w:jc w:val="both"/>
              <w:rPr>
                <w:sz w:val="21"/>
              </w:rPr>
            </w:pPr>
            <w:r>
              <w:rPr>
                <w:sz w:val="21"/>
              </w:rPr>
              <w:t>transportation rate for CGD – in rupees per million British Thermal Unit (Rs./MMBTU)</w:t>
            </w:r>
          </w:p>
        </w:tc>
        <w:tc>
          <w:tcPr>
            <w:tcW w:w="1621" w:type="dxa"/>
          </w:tcPr>
          <w:p w:rsidR="008215AB" w:rsidRDefault="006513FA">
            <w:pPr>
              <w:pStyle w:val="TableParagraph"/>
              <w:spacing w:line="236" w:lineRule="exact"/>
              <w:rPr>
                <w:sz w:val="21"/>
              </w:rPr>
            </w:pPr>
            <w:r>
              <w:rPr>
                <w:sz w:val="21"/>
              </w:rPr>
              <w:t>10</w:t>
            </w:r>
          </w:p>
        </w:tc>
        <w:tc>
          <w:tcPr>
            <w:tcW w:w="2881" w:type="dxa"/>
          </w:tcPr>
          <w:p w:rsidR="008215AB" w:rsidRDefault="006513FA">
            <w:pPr>
              <w:pStyle w:val="TableParagraph"/>
              <w:spacing w:line="276" w:lineRule="auto"/>
              <w:ind w:right="95"/>
              <w:jc w:val="both"/>
              <w:rPr>
                <w:sz w:val="21"/>
              </w:rPr>
            </w:pPr>
            <w:r>
              <w:rPr>
                <w:sz w:val="21"/>
              </w:rPr>
              <w:t xml:space="preserve">Bidder is required to quote transportation rate for CGD only for the first contract year which shall not be less than Rs.30/MMBTU. </w:t>
            </w:r>
            <w:r>
              <w:rPr>
                <w:spacing w:val="-4"/>
                <w:sz w:val="21"/>
              </w:rPr>
              <w:t xml:space="preserve">Rates </w:t>
            </w:r>
            <w:r>
              <w:rPr>
                <w:sz w:val="21"/>
              </w:rPr>
              <w:t xml:space="preserve">for the subsequent contract years shall be </w:t>
            </w:r>
            <w:r>
              <w:rPr>
                <w:spacing w:val="-3"/>
                <w:sz w:val="21"/>
              </w:rPr>
              <w:t xml:space="preserve">derived </w:t>
            </w:r>
            <w:r>
              <w:rPr>
                <w:sz w:val="21"/>
              </w:rPr>
              <w:t>considering the quoted</w:t>
            </w:r>
            <w:r>
              <w:rPr>
                <w:spacing w:val="-6"/>
                <w:sz w:val="21"/>
              </w:rPr>
              <w:t xml:space="preserve"> </w:t>
            </w:r>
            <w:r>
              <w:rPr>
                <w:sz w:val="21"/>
              </w:rPr>
              <w:t>rate</w:t>
            </w:r>
          </w:p>
          <w:p w:rsidR="008215AB" w:rsidRDefault="006513FA">
            <w:pPr>
              <w:pStyle w:val="TableParagraph"/>
              <w:spacing w:line="240" w:lineRule="exact"/>
              <w:jc w:val="both"/>
              <w:rPr>
                <w:sz w:val="21"/>
              </w:rPr>
            </w:pPr>
            <w:r>
              <w:rPr>
                <w:sz w:val="21"/>
              </w:rPr>
              <w:t>and escalation as per Note.</w:t>
            </w:r>
          </w:p>
        </w:tc>
      </w:tr>
      <w:tr w:rsidR="008215AB">
        <w:trPr>
          <w:trHeight w:val="2500"/>
        </w:trPr>
        <w:tc>
          <w:tcPr>
            <w:tcW w:w="540" w:type="dxa"/>
          </w:tcPr>
          <w:p w:rsidR="008215AB" w:rsidRDefault="006513FA">
            <w:pPr>
              <w:pStyle w:val="TableParagraph"/>
              <w:spacing w:line="236" w:lineRule="exact"/>
              <w:rPr>
                <w:sz w:val="21"/>
              </w:rPr>
            </w:pPr>
            <w:r>
              <w:rPr>
                <w:sz w:val="21"/>
              </w:rPr>
              <w:t>2</w:t>
            </w:r>
          </w:p>
        </w:tc>
        <w:tc>
          <w:tcPr>
            <w:tcW w:w="2612" w:type="dxa"/>
          </w:tcPr>
          <w:p w:rsidR="008215AB" w:rsidRDefault="006513FA">
            <w:pPr>
              <w:pStyle w:val="TableParagraph"/>
              <w:tabs>
                <w:tab w:val="left" w:pos="2328"/>
              </w:tabs>
              <w:spacing w:line="236" w:lineRule="exact"/>
              <w:jc w:val="both"/>
              <w:rPr>
                <w:sz w:val="21"/>
              </w:rPr>
            </w:pPr>
            <w:r>
              <w:rPr>
                <w:sz w:val="21"/>
              </w:rPr>
              <w:t>Lowness</w:t>
            </w:r>
            <w:r>
              <w:rPr>
                <w:sz w:val="21"/>
              </w:rPr>
              <w:tab/>
              <w:t>of</w:t>
            </w:r>
          </w:p>
          <w:p w:rsidR="008215AB" w:rsidRDefault="006513FA">
            <w:pPr>
              <w:pStyle w:val="TableParagraph"/>
              <w:spacing w:before="37" w:line="276" w:lineRule="auto"/>
              <w:ind w:right="96"/>
              <w:jc w:val="both"/>
              <w:rPr>
                <w:sz w:val="21"/>
              </w:rPr>
            </w:pPr>
            <w:r>
              <w:rPr>
                <w:sz w:val="21"/>
              </w:rPr>
              <w:t>transportation rate for CNG – in rupees per kilo gram (Rs./kg)</w:t>
            </w:r>
          </w:p>
        </w:tc>
        <w:tc>
          <w:tcPr>
            <w:tcW w:w="1621" w:type="dxa"/>
          </w:tcPr>
          <w:p w:rsidR="008215AB" w:rsidRDefault="006513FA">
            <w:pPr>
              <w:pStyle w:val="TableParagraph"/>
              <w:spacing w:line="236" w:lineRule="exact"/>
              <w:rPr>
                <w:sz w:val="21"/>
              </w:rPr>
            </w:pPr>
            <w:r>
              <w:rPr>
                <w:sz w:val="21"/>
              </w:rPr>
              <w:t>10</w:t>
            </w:r>
          </w:p>
        </w:tc>
        <w:tc>
          <w:tcPr>
            <w:tcW w:w="2881" w:type="dxa"/>
          </w:tcPr>
          <w:p w:rsidR="008215AB" w:rsidRDefault="006513FA">
            <w:pPr>
              <w:pStyle w:val="TableParagraph"/>
              <w:spacing w:line="276" w:lineRule="auto"/>
              <w:ind w:right="95"/>
              <w:jc w:val="both"/>
              <w:rPr>
                <w:sz w:val="21"/>
              </w:rPr>
            </w:pPr>
            <w:r>
              <w:rPr>
                <w:sz w:val="21"/>
              </w:rPr>
              <w:t xml:space="preserve">Bidder is required to quote transportation rate for CNG only for the first contract year which shall into be less than Rs.2/kg. Rates for the subsequent contract </w:t>
            </w:r>
            <w:r>
              <w:rPr>
                <w:spacing w:val="-5"/>
                <w:sz w:val="21"/>
              </w:rPr>
              <w:t xml:space="preserve">years </w:t>
            </w:r>
            <w:r>
              <w:rPr>
                <w:sz w:val="21"/>
              </w:rPr>
              <w:t>shall be derived considering the quoted rate</w:t>
            </w:r>
            <w:r>
              <w:rPr>
                <w:spacing w:val="28"/>
                <w:sz w:val="21"/>
              </w:rPr>
              <w:t xml:space="preserve"> </w:t>
            </w:r>
            <w:r>
              <w:rPr>
                <w:spacing w:val="-6"/>
                <w:sz w:val="21"/>
              </w:rPr>
              <w:t>and</w:t>
            </w:r>
          </w:p>
          <w:p w:rsidR="008215AB" w:rsidRDefault="006513FA">
            <w:pPr>
              <w:pStyle w:val="TableParagraph"/>
              <w:jc w:val="both"/>
              <w:rPr>
                <w:sz w:val="21"/>
              </w:rPr>
            </w:pPr>
            <w:r>
              <w:rPr>
                <w:sz w:val="21"/>
              </w:rPr>
              <w:t>escalation as per Note.</w:t>
            </w:r>
          </w:p>
        </w:tc>
      </w:tr>
      <w:tr w:rsidR="008215AB">
        <w:trPr>
          <w:trHeight w:val="1943"/>
        </w:trPr>
        <w:tc>
          <w:tcPr>
            <w:tcW w:w="540" w:type="dxa"/>
          </w:tcPr>
          <w:p w:rsidR="008215AB" w:rsidRDefault="006513FA">
            <w:pPr>
              <w:pStyle w:val="TableParagraph"/>
              <w:spacing w:line="236" w:lineRule="exact"/>
              <w:rPr>
                <w:sz w:val="21"/>
              </w:rPr>
            </w:pPr>
            <w:r>
              <w:rPr>
                <w:sz w:val="21"/>
              </w:rPr>
              <w:t>3</w:t>
            </w:r>
          </w:p>
        </w:tc>
        <w:tc>
          <w:tcPr>
            <w:tcW w:w="2612" w:type="dxa"/>
          </w:tcPr>
          <w:p w:rsidR="008215AB" w:rsidRDefault="006513FA">
            <w:pPr>
              <w:pStyle w:val="TableParagraph"/>
              <w:spacing w:line="276" w:lineRule="auto"/>
              <w:ind w:right="96"/>
              <w:jc w:val="both"/>
              <w:rPr>
                <w:sz w:val="21"/>
              </w:rPr>
            </w:pPr>
            <w:r>
              <w:rPr>
                <w:sz w:val="21"/>
              </w:rPr>
              <w:t xml:space="preserve">Highness of </w:t>
            </w:r>
            <w:r>
              <w:rPr>
                <w:sz w:val="21"/>
              </w:rPr>
              <w:t xml:space="preserve">number of </w:t>
            </w:r>
            <w:r>
              <w:rPr>
                <w:b/>
                <w:sz w:val="21"/>
              </w:rPr>
              <w:t xml:space="preserve">CNG stations </w:t>
            </w:r>
            <w:r>
              <w:rPr>
                <w:sz w:val="21"/>
              </w:rPr>
              <w:t xml:space="preserve">(online and daughter </w:t>
            </w:r>
            <w:r>
              <w:rPr>
                <w:spacing w:val="-3"/>
                <w:sz w:val="21"/>
              </w:rPr>
              <w:t xml:space="preserve">booster </w:t>
            </w:r>
            <w:r>
              <w:rPr>
                <w:sz w:val="21"/>
              </w:rPr>
              <w:t>stations) to be installed within 8 contract years from the date</w:t>
            </w:r>
            <w:r>
              <w:rPr>
                <w:spacing w:val="41"/>
                <w:sz w:val="21"/>
              </w:rPr>
              <w:t xml:space="preserve"> </w:t>
            </w:r>
            <w:r>
              <w:rPr>
                <w:sz w:val="21"/>
              </w:rPr>
              <w:t>of</w:t>
            </w:r>
          </w:p>
          <w:p w:rsidR="008215AB" w:rsidRDefault="006513FA">
            <w:pPr>
              <w:pStyle w:val="TableParagraph"/>
              <w:spacing w:line="241" w:lineRule="exact"/>
              <w:rPr>
                <w:sz w:val="21"/>
              </w:rPr>
            </w:pPr>
            <w:r>
              <w:rPr>
                <w:sz w:val="21"/>
              </w:rPr>
              <w:t>authorisation</w:t>
            </w:r>
          </w:p>
        </w:tc>
        <w:tc>
          <w:tcPr>
            <w:tcW w:w="1621" w:type="dxa"/>
          </w:tcPr>
          <w:p w:rsidR="008215AB" w:rsidRDefault="006513FA">
            <w:pPr>
              <w:pStyle w:val="TableParagraph"/>
              <w:spacing w:line="236" w:lineRule="exact"/>
              <w:rPr>
                <w:b/>
                <w:sz w:val="21"/>
              </w:rPr>
            </w:pPr>
            <w:r>
              <w:rPr>
                <w:b/>
                <w:sz w:val="21"/>
              </w:rPr>
              <w:t>25</w:t>
            </w:r>
          </w:p>
        </w:tc>
        <w:tc>
          <w:tcPr>
            <w:tcW w:w="2881" w:type="dxa"/>
          </w:tcPr>
          <w:p w:rsidR="008215AB" w:rsidRDefault="006513FA">
            <w:pPr>
              <w:pStyle w:val="TableParagraph"/>
              <w:spacing w:line="236" w:lineRule="exact"/>
              <w:ind w:left="5"/>
              <w:jc w:val="center"/>
              <w:rPr>
                <w:sz w:val="21"/>
              </w:rPr>
            </w:pPr>
            <w:r>
              <w:rPr>
                <w:sz w:val="21"/>
              </w:rPr>
              <w:t>-</w:t>
            </w:r>
          </w:p>
        </w:tc>
      </w:tr>
      <w:tr w:rsidR="008215AB">
        <w:trPr>
          <w:trHeight w:val="1665"/>
        </w:trPr>
        <w:tc>
          <w:tcPr>
            <w:tcW w:w="540" w:type="dxa"/>
          </w:tcPr>
          <w:p w:rsidR="008215AB" w:rsidRDefault="006513FA">
            <w:pPr>
              <w:pStyle w:val="TableParagraph"/>
              <w:spacing w:line="236" w:lineRule="exact"/>
              <w:rPr>
                <w:sz w:val="21"/>
              </w:rPr>
            </w:pPr>
            <w:r>
              <w:rPr>
                <w:sz w:val="21"/>
              </w:rPr>
              <w:t>4</w:t>
            </w:r>
          </w:p>
        </w:tc>
        <w:tc>
          <w:tcPr>
            <w:tcW w:w="2612" w:type="dxa"/>
          </w:tcPr>
          <w:p w:rsidR="008215AB" w:rsidRDefault="006513FA">
            <w:pPr>
              <w:pStyle w:val="TableParagraph"/>
              <w:spacing w:line="276" w:lineRule="auto"/>
              <w:ind w:right="97"/>
              <w:jc w:val="both"/>
              <w:rPr>
                <w:sz w:val="21"/>
              </w:rPr>
            </w:pPr>
            <w:r>
              <w:rPr>
                <w:sz w:val="21"/>
              </w:rPr>
              <w:t xml:space="preserve">Highness of number of domestic piped natural gas connections to </w:t>
            </w:r>
            <w:r>
              <w:rPr>
                <w:spacing w:val="-8"/>
                <w:sz w:val="21"/>
              </w:rPr>
              <w:t xml:space="preserve">be </w:t>
            </w:r>
            <w:r>
              <w:rPr>
                <w:sz w:val="21"/>
              </w:rPr>
              <w:t xml:space="preserve">achieved        within      </w:t>
            </w:r>
            <w:r>
              <w:rPr>
                <w:spacing w:val="20"/>
                <w:sz w:val="21"/>
              </w:rPr>
              <w:t xml:space="preserve"> </w:t>
            </w:r>
            <w:r>
              <w:rPr>
                <w:spacing w:val="-12"/>
                <w:sz w:val="21"/>
              </w:rPr>
              <w:t>8</w:t>
            </w:r>
          </w:p>
          <w:p w:rsidR="008215AB" w:rsidRDefault="006513FA">
            <w:pPr>
              <w:pStyle w:val="TableParagraph"/>
              <w:jc w:val="both"/>
              <w:rPr>
                <w:sz w:val="21"/>
              </w:rPr>
            </w:pPr>
            <w:r>
              <w:rPr>
                <w:sz w:val="21"/>
              </w:rPr>
              <w:t xml:space="preserve">contract   years  from </w:t>
            </w:r>
            <w:r>
              <w:rPr>
                <w:spacing w:val="6"/>
                <w:sz w:val="21"/>
              </w:rPr>
              <w:t xml:space="preserve"> </w:t>
            </w:r>
            <w:r>
              <w:rPr>
                <w:sz w:val="21"/>
              </w:rPr>
              <w:t>the</w:t>
            </w:r>
          </w:p>
          <w:p w:rsidR="008215AB" w:rsidRDefault="006513FA">
            <w:pPr>
              <w:pStyle w:val="TableParagraph"/>
              <w:spacing w:before="30"/>
              <w:jc w:val="both"/>
              <w:rPr>
                <w:sz w:val="21"/>
              </w:rPr>
            </w:pPr>
            <w:r>
              <w:rPr>
                <w:sz w:val="21"/>
              </w:rPr>
              <w:t>date of authorisation</w:t>
            </w:r>
          </w:p>
        </w:tc>
        <w:tc>
          <w:tcPr>
            <w:tcW w:w="1621" w:type="dxa"/>
          </w:tcPr>
          <w:p w:rsidR="008215AB" w:rsidRDefault="006513FA">
            <w:pPr>
              <w:pStyle w:val="TableParagraph"/>
              <w:spacing w:line="236" w:lineRule="exact"/>
              <w:rPr>
                <w:sz w:val="21"/>
              </w:rPr>
            </w:pPr>
            <w:r>
              <w:rPr>
                <w:sz w:val="21"/>
              </w:rPr>
              <w:t>55</w:t>
            </w:r>
          </w:p>
        </w:tc>
        <w:tc>
          <w:tcPr>
            <w:tcW w:w="2881" w:type="dxa"/>
          </w:tcPr>
          <w:p w:rsidR="008215AB" w:rsidRDefault="006513FA">
            <w:pPr>
              <w:pStyle w:val="TableParagraph"/>
              <w:spacing w:line="236" w:lineRule="exact"/>
              <w:ind w:left="5"/>
              <w:jc w:val="center"/>
              <w:rPr>
                <w:sz w:val="21"/>
              </w:rPr>
            </w:pPr>
            <w:r>
              <w:rPr>
                <w:sz w:val="21"/>
              </w:rPr>
              <w:t>-</w:t>
            </w:r>
          </w:p>
        </w:tc>
      </w:tr>
      <w:tr w:rsidR="008215AB">
        <w:trPr>
          <w:trHeight w:val="1667"/>
        </w:trPr>
        <w:tc>
          <w:tcPr>
            <w:tcW w:w="7654" w:type="dxa"/>
            <w:gridSpan w:val="4"/>
          </w:tcPr>
          <w:p w:rsidR="008215AB" w:rsidRDefault="006513FA">
            <w:pPr>
              <w:pStyle w:val="TableParagraph"/>
              <w:spacing w:line="276" w:lineRule="auto"/>
              <w:ind w:right="97"/>
              <w:jc w:val="both"/>
              <w:rPr>
                <w:sz w:val="21"/>
              </w:rPr>
            </w:pPr>
            <w:r>
              <w:rPr>
                <w:sz w:val="21"/>
              </w:rPr>
              <w:t xml:space="preserve">Note: Annual escalation shall be considered from the second contract year and </w:t>
            </w:r>
            <w:r>
              <w:rPr>
                <w:spacing w:val="-1"/>
                <w:sz w:val="21"/>
              </w:rPr>
              <w:t>onward</w:t>
            </w:r>
            <w:r>
              <w:rPr>
                <w:sz w:val="21"/>
              </w:rPr>
              <w:t>s</w:t>
            </w:r>
            <w:r>
              <w:rPr>
                <w:spacing w:val="22"/>
                <w:sz w:val="21"/>
              </w:rPr>
              <w:t xml:space="preserve"> </w:t>
            </w:r>
            <w:r>
              <w:rPr>
                <w:spacing w:val="-3"/>
                <w:sz w:val="21"/>
              </w:rPr>
              <w:t>b</w:t>
            </w:r>
            <w:r>
              <w:rPr>
                <w:spacing w:val="-1"/>
                <w:sz w:val="21"/>
              </w:rPr>
              <w:t>as</w:t>
            </w:r>
            <w:r>
              <w:rPr>
                <w:spacing w:val="-3"/>
                <w:sz w:val="21"/>
              </w:rPr>
              <w:t>e</w:t>
            </w:r>
            <w:r>
              <w:rPr>
                <w:sz w:val="21"/>
              </w:rPr>
              <w:t>d</w:t>
            </w:r>
            <w:r>
              <w:rPr>
                <w:spacing w:val="23"/>
                <w:sz w:val="21"/>
              </w:rPr>
              <w:t xml:space="preserve"> </w:t>
            </w:r>
            <w:r>
              <w:rPr>
                <w:spacing w:val="-1"/>
                <w:sz w:val="21"/>
              </w:rPr>
              <w:t>o</w:t>
            </w:r>
            <w:r>
              <w:rPr>
                <w:sz w:val="21"/>
              </w:rPr>
              <w:t>n</w:t>
            </w:r>
            <w:r>
              <w:rPr>
                <w:spacing w:val="23"/>
                <w:sz w:val="21"/>
              </w:rPr>
              <w:t xml:space="preserve"> </w:t>
            </w:r>
            <w:r>
              <w:rPr>
                <w:spacing w:val="-2"/>
                <w:sz w:val="21"/>
              </w:rPr>
              <w:t>t</w:t>
            </w:r>
            <w:r>
              <w:rPr>
                <w:spacing w:val="-1"/>
                <w:sz w:val="21"/>
              </w:rPr>
              <w:t>h</w:t>
            </w:r>
            <w:r>
              <w:rPr>
                <w:sz w:val="21"/>
              </w:rPr>
              <w:t>e</w:t>
            </w:r>
            <w:r>
              <w:rPr>
                <w:spacing w:val="23"/>
                <w:sz w:val="21"/>
              </w:rPr>
              <w:t xml:space="preserve"> </w:t>
            </w:r>
            <w:r>
              <w:rPr>
                <w:spacing w:val="-4"/>
                <w:w w:val="33"/>
                <w:sz w:val="21"/>
              </w:rPr>
              <w:t>―</w:t>
            </w:r>
            <w:r>
              <w:rPr>
                <w:spacing w:val="4"/>
                <w:sz w:val="21"/>
              </w:rPr>
              <w:t>W</w:t>
            </w:r>
            <w:r>
              <w:rPr>
                <w:spacing w:val="-3"/>
                <w:sz w:val="21"/>
              </w:rPr>
              <w:t>ho</w:t>
            </w:r>
            <w:r>
              <w:rPr>
                <w:spacing w:val="-2"/>
                <w:sz w:val="21"/>
              </w:rPr>
              <w:t>l</w:t>
            </w:r>
            <w:r>
              <w:rPr>
                <w:spacing w:val="-1"/>
                <w:sz w:val="21"/>
              </w:rPr>
              <w:t>e</w:t>
            </w:r>
            <w:r>
              <w:rPr>
                <w:spacing w:val="-3"/>
                <w:sz w:val="21"/>
              </w:rPr>
              <w:t>s</w:t>
            </w:r>
            <w:r>
              <w:rPr>
                <w:spacing w:val="-1"/>
                <w:sz w:val="21"/>
              </w:rPr>
              <w:t>a</w:t>
            </w:r>
            <w:r>
              <w:rPr>
                <w:spacing w:val="1"/>
                <w:sz w:val="21"/>
              </w:rPr>
              <w:t>l</w:t>
            </w:r>
            <w:r>
              <w:rPr>
                <w:sz w:val="21"/>
              </w:rPr>
              <w:t>e</w:t>
            </w:r>
            <w:r>
              <w:rPr>
                <w:spacing w:val="20"/>
                <w:sz w:val="21"/>
              </w:rPr>
              <w:t xml:space="preserve"> </w:t>
            </w:r>
            <w:r>
              <w:rPr>
                <w:sz w:val="21"/>
              </w:rPr>
              <w:t>P</w:t>
            </w:r>
            <w:r>
              <w:rPr>
                <w:spacing w:val="-1"/>
                <w:sz w:val="21"/>
              </w:rPr>
              <w:t>r</w:t>
            </w:r>
            <w:r>
              <w:rPr>
                <w:spacing w:val="-2"/>
                <w:sz w:val="21"/>
              </w:rPr>
              <w:t>i</w:t>
            </w:r>
            <w:r>
              <w:rPr>
                <w:sz w:val="21"/>
              </w:rPr>
              <w:t>ce</w:t>
            </w:r>
            <w:r>
              <w:rPr>
                <w:spacing w:val="23"/>
                <w:sz w:val="21"/>
              </w:rPr>
              <w:t xml:space="preserve"> </w:t>
            </w:r>
            <w:r>
              <w:rPr>
                <w:spacing w:val="-2"/>
                <w:sz w:val="21"/>
              </w:rPr>
              <w:t>I</w:t>
            </w:r>
            <w:r>
              <w:rPr>
                <w:spacing w:val="-1"/>
                <w:sz w:val="21"/>
              </w:rPr>
              <w:t>nd</w:t>
            </w:r>
            <w:r>
              <w:rPr>
                <w:spacing w:val="-2"/>
                <w:sz w:val="21"/>
              </w:rPr>
              <w:t>e</w:t>
            </w:r>
            <w:r>
              <w:rPr>
                <w:sz w:val="21"/>
              </w:rPr>
              <w:t>x</w:t>
            </w:r>
            <w:r>
              <w:rPr>
                <w:spacing w:val="22"/>
                <w:sz w:val="21"/>
              </w:rPr>
              <w:t xml:space="preserve"> </w:t>
            </w:r>
            <w:r>
              <w:rPr>
                <w:spacing w:val="-1"/>
                <w:sz w:val="21"/>
              </w:rPr>
              <w:t>(</w:t>
            </w:r>
            <w:r>
              <w:rPr>
                <w:spacing w:val="4"/>
                <w:sz w:val="21"/>
              </w:rPr>
              <w:t>W</w:t>
            </w:r>
            <w:r>
              <w:rPr>
                <w:spacing w:val="-2"/>
                <w:sz w:val="21"/>
              </w:rPr>
              <w:t>P</w:t>
            </w:r>
            <w:r>
              <w:rPr>
                <w:spacing w:val="-4"/>
                <w:sz w:val="21"/>
              </w:rPr>
              <w:t>I</w:t>
            </w:r>
            <w:r>
              <w:rPr>
                <w:sz w:val="21"/>
              </w:rPr>
              <w:t>)</w:t>
            </w:r>
            <w:r>
              <w:rPr>
                <w:spacing w:val="22"/>
                <w:sz w:val="21"/>
              </w:rPr>
              <w:t xml:space="preserve"> </w:t>
            </w:r>
            <w:r>
              <w:rPr>
                <w:spacing w:val="-2"/>
                <w:sz w:val="21"/>
              </w:rPr>
              <w:t>D</w:t>
            </w:r>
            <w:r>
              <w:rPr>
                <w:spacing w:val="-1"/>
                <w:sz w:val="21"/>
              </w:rPr>
              <w:t>at</w:t>
            </w:r>
            <w:r>
              <w:rPr>
                <w:sz w:val="21"/>
              </w:rPr>
              <w:t>a</w:t>
            </w:r>
            <w:r>
              <w:rPr>
                <w:spacing w:val="23"/>
                <w:sz w:val="21"/>
              </w:rPr>
              <w:t xml:space="preserve"> </w:t>
            </w:r>
            <w:r>
              <w:rPr>
                <w:spacing w:val="-1"/>
                <w:sz w:val="21"/>
              </w:rPr>
              <w:t>(201</w:t>
            </w:r>
            <w:r>
              <w:rPr>
                <w:spacing w:val="4"/>
                <w:sz w:val="21"/>
              </w:rPr>
              <w:t>1</w:t>
            </w:r>
            <w:r>
              <w:rPr>
                <w:spacing w:val="-4"/>
                <w:sz w:val="21"/>
              </w:rPr>
              <w:t>-</w:t>
            </w:r>
            <w:r>
              <w:rPr>
                <w:spacing w:val="-1"/>
                <w:sz w:val="21"/>
              </w:rPr>
              <w:t>12=</w:t>
            </w:r>
            <w:r>
              <w:rPr>
                <w:spacing w:val="-3"/>
                <w:sz w:val="21"/>
              </w:rPr>
              <w:t>1</w:t>
            </w:r>
            <w:r>
              <w:rPr>
                <w:spacing w:val="-1"/>
                <w:sz w:val="21"/>
              </w:rPr>
              <w:t>0</w:t>
            </w:r>
            <w:r>
              <w:rPr>
                <w:spacing w:val="-3"/>
                <w:sz w:val="21"/>
              </w:rPr>
              <w:t>0</w:t>
            </w:r>
            <w:r>
              <w:rPr>
                <w:spacing w:val="-1"/>
                <w:sz w:val="21"/>
              </w:rPr>
              <w:t>)</w:t>
            </w:r>
            <w:r>
              <w:rPr>
                <w:w w:val="81"/>
                <w:sz w:val="21"/>
              </w:rPr>
              <w:t>‖</w:t>
            </w:r>
            <w:r>
              <w:rPr>
                <w:spacing w:val="22"/>
                <w:sz w:val="21"/>
              </w:rPr>
              <w:t xml:space="preserve"> </w:t>
            </w:r>
            <w:r>
              <w:rPr>
                <w:spacing w:val="1"/>
                <w:sz w:val="21"/>
              </w:rPr>
              <w:t>f</w:t>
            </w:r>
            <w:r>
              <w:rPr>
                <w:spacing w:val="-1"/>
                <w:sz w:val="21"/>
              </w:rPr>
              <w:t>or</w:t>
            </w:r>
          </w:p>
          <w:p w:rsidR="008215AB" w:rsidRDefault="006513FA">
            <w:pPr>
              <w:pStyle w:val="TableParagraph"/>
              <w:spacing w:line="276" w:lineRule="auto"/>
              <w:ind w:right="101"/>
              <w:jc w:val="both"/>
              <w:rPr>
                <w:sz w:val="21"/>
              </w:rPr>
            </w:pPr>
            <w:r>
              <w:rPr>
                <w:spacing w:val="-1"/>
                <w:w w:val="33"/>
                <w:sz w:val="21"/>
              </w:rPr>
              <w:t>―</w:t>
            </w:r>
            <w:r>
              <w:rPr>
                <w:sz w:val="21"/>
              </w:rPr>
              <w:t>A</w:t>
            </w:r>
            <w:r>
              <w:rPr>
                <w:spacing w:val="-2"/>
                <w:sz w:val="21"/>
              </w:rPr>
              <w:t>l</w:t>
            </w:r>
            <w:r>
              <w:rPr>
                <w:sz w:val="21"/>
              </w:rPr>
              <w:t>l</w:t>
            </w:r>
            <w:r>
              <w:rPr>
                <w:spacing w:val="21"/>
                <w:sz w:val="21"/>
              </w:rPr>
              <w:t xml:space="preserve"> </w:t>
            </w:r>
            <w:r>
              <w:rPr>
                <w:spacing w:val="-2"/>
                <w:sz w:val="21"/>
              </w:rPr>
              <w:t>G</w:t>
            </w:r>
            <w:r>
              <w:rPr>
                <w:spacing w:val="-1"/>
                <w:sz w:val="21"/>
              </w:rPr>
              <w:t>ro</w:t>
            </w:r>
            <w:r>
              <w:rPr>
                <w:spacing w:val="-3"/>
                <w:sz w:val="21"/>
              </w:rPr>
              <w:t>u</w:t>
            </w:r>
            <w:r>
              <w:rPr>
                <w:sz w:val="21"/>
              </w:rPr>
              <w:t>p</w:t>
            </w:r>
            <w:r>
              <w:rPr>
                <w:spacing w:val="20"/>
                <w:sz w:val="21"/>
              </w:rPr>
              <w:t xml:space="preserve"> </w:t>
            </w:r>
            <w:r>
              <w:rPr>
                <w:sz w:val="21"/>
              </w:rPr>
              <w:t>/</w:t>
            </w:r>
            <w:r>
              <w:rPr>
                <w:spacing w:val="19"/>
                <w:sz w:val="21"/>
              </w:rPr>
              <w:t xml:space="preserve"> </w:t>
            </w:r>
            <w:r>
              <w:rPr>
                <w:spacing w:val="-2"/>
                <w:sz w:val="21"/>
              </w:rPr>
              <w:t>C</w:t>
            </w:r>
            <w:r>
              <w:rPr>
                <w:spacing w:val="-3"/>
                <w:sz w:val="21"/>
              </w:rPr>
              <w:t>o</w:t>
            </w:r>
            <w:r>
              <w:rPr>
                <w:spacing w:val="-1"/>
                <w:sz w:val="21"/>
              </w:rPr>
              <w:t>m</w:t>
            </w:r>
            <w:r>
              <w:rPr>
                <w:spacing w:val="1"/>
                <w:sz w:val="21"/>
              </w:rPr>
              <w:t>m</w:t>
            </w:r>
            <w:r>
              <w:rPr>
                <w:spacing w:val="-1"/>
                <w:sz w:val="21"/>
              </w:rPr>
              <w:t>o</w:t>
            </w:r>
            <w:r>
              <w:rPr>
                <w:spacing w:val="-3"/>
                <w:sz w:val="21"/>
              </w:rPr>
              <w:t>d</w:t>
            </w:r>
            <w:r>
              <w:rPr>
                <w:sz w:val="21"/>
              </w:rPr>
              <w:t>i</w:t>
            </w:r>
            <w:r>
              <w:rPr>
                <w:spacing w:val="-2"/>
                <w:sz w:val="21"/>
              </w:rPr>
              <w:t>t</w:t>
            </w:r>
            <w:r>
              <w:rPr>
                <w:spacing w:val="-3"/>
                <w:sz w:val="21"/>
              </w:rPr>
              <w:t>y</w:t>
            </w:r>
            <w:r>
              <w:rPr>
                <w:spacing w:val="-1"/>
                <w:w w:val="81"/>
                <w:sz w:val="21"/>
              </w:rPr>
              <w:t>‖</w:t>
            </w:r>
            <w:r>
              <w:rPr>
                <w:sz w:val="21"/>
              </w:rPr>
              <w:t>,</w:t>
            </w:r>
            <w:r>
              <w:rPr>
                <w:spacing w:val="19"/>
                <w:sz w:val="21"/>
              </w:rPr>
              <w:t xml:space="preserve"> </w:t>
            </w:r>
            <w:r>
              <w:rPr>
                <w:spacing w:val="-1"/>
                <w:sz w:val="21"/>
              </w:rPr>
              <w:t>a</w:t>
            </w:r>
            <w:r>
              <w:rPr>
                <w:sz w:val="21"/>
              </w:rPr>
              <w:t>s</w:t>
            </w:r>
            <w:r>
              <w:rPr>
                <w:spacing w:val="20"/>
                <w:sz w:val="21"/>
              </w:rPr>
              <w:t xml:space="preserve"> </w:t>
            </w:r>
            <w:r>
              <w:rPr>
                <w:spacing w:val="-1"/>
                <w:sz w:val="21"/>
              </w:rPr>
              <w:t>no</w:t>
            </w:r>
            <w:r>
              <w:rPr>
                <w:spacing w:val="-3"/>
                <w:sz w:val="21"/>
              </w:rPr>
              <w:t>r</w:t>
            </w:r>
            <w:r>
              <w:rPr>
                <w:spacing w:val="-1"/>
                <w:sz w:val="21"/>
              </w:rPr>
              <w:t>ma</w:t>
            </w:r>
            <w:r>
              <w:rPr>
                <w:spacing w:val="-2"/>
                <w:sz w:val="21"/>
              </w:rPr>
              <w:t>l</w:t>
            </w:r>
            <w:r>
              <w:rPr>
                <w:sz w:val="21"/>
              </w:rPr>
              <w:t>ly</w:t>
            </w:r>
            <w:r>
              <w:rPr>
                <w:spacing w:val="18"/>
                <w:sz w:val="21"/>
              </w:rPr>
              <w:t xml:space="preserve"> </w:t>
            </w:r>
            <w:r>
              <w:rPr>
                <w:spacing w:val="-1"/>
                <w:sz w:val="21"/>
              </w:rPr>
              <w:t>a</w:t>
            </w:r>
            <w:r>
              <w:rPr>
                <w:spacing w:val="-3"/>
                <w:sz w:val="21"/>
              </w:rPr>
              <w:t>v</w:t>
            </w:r>
            <w:r>
              <w:rPr>
                <w:spacing w:val="-1"/>
                <w:sz w:val="21"/>
              </w:rPr>
              <w:t>a</w:t>
            </w:r>
            <w:r>
              <w:rPr>
                <w:spacing w:val="1"/>
                <w:sz w:val="21"/>
              </w:rPr>
              <w:t>i</w:t>
            </w:r>
            <w:r>
              <w:rPr>
                <w:sz w:val="21"/>
              </w:rPr>
              <w:t>l</w:t>
            </w:r>
            <w:r>
              <w:rPr>
                <w:spacing w:val="-3"/>
                <w:sz w:val="21"/>
              </w:rPr>
              <w:t>a</w:t>
            </w:r>
            <w:r>
              <w:rPr>
                <w:spacing w:val="-1"/>
                <w:sz w:val="21"/>
              </w:rPr>
              <w:t>b</w:t>
            </w:r>
            <w:r>
              <w:rPr>
                <w:spacing w:val="-2"/>
                <w:sz w:val="21"/>
              </w:rPr>
              <w:t>l</w:t>
            </w:r>
            <w:r>
              <w:rPr>
                <w:sz w:val="21"/>
              </w:rPr>
              <w:t>e</w:t>
            </w:r>
            <w:r>
              <w:rPr>
                <w:spacing w:val="20"/>
                <w:sz w:val="21"/>
              </w:rPr>
              <w:t xml:space="preserve"> </w:t>
            </w:r>
            <w:r>
              <w:rPr>
                <w:spacing w:val="-1"/>
                <w:sz w:val="21"/>
              </w:rPr>
              <w:t>o</w:t>
            </w:r>
            <w:r>
              <w:rPr>
                <w:sz w:val="21"/>
              </w:rPr>
              <w:t>n</w:t>
            </w:r>
            <w:r>
              <w:rPr>
                <w:spacing w:val="18"/>
                <w:sz w:val="21"/>
              </w:rPr>
              <w:t xml:space="preserve"> </w:t>
            </w:r>
            <w:r>
              <w:rPr>
                <w:spacing w:val="-2"/>
                <w:sz w:val="21"/>
              </w:rPr>
              <w:t>t</w:t>
            </w:r>
            <w:r>
              <w:rPr>
                <w:spacing w:val="-1"/>
                <w:sz w:val="21"/>
              </w:rPr>
              <w:t>h</w:t>
            </w:r>
            <w:r>
              <w:rPr>
                <w:sz w:val="21"/>
              </w:rPr>
              <w:t>e</w:t>
            </w:r>
            <w:r>
              <w:rPr>
                <w:spacing w:val="21"/>
                <w:sz w:val="21"/>
              </w:rPr>
              <w:t xml:space="preserve"> </w:t>
            </w:r>
            <w:r>
              <w:rPr>
                <w:spacing w:val="-2"/>
                <w:sz w:val="21"/>
              </w:rPr>
              <w:t>w</w:t>
            </w:r>
            <w:r>
              <w:rPr>
                <w:spacing w:val="-1"/>
                <w:sz w:val="21"/>
              </w:rPr>
              <w:t>eb</w:t>
            </w:r>
            <w:r>
              <w:rPr>
                <w:spacing w:val="-3"/>
                <w:sz w:val="21"/>
              </w:rPr>
              <w:t>s</w:t>
            </w:r>
            <w:r>
              <w:rPr>
                <w:sz w:val="21"/>
              </w:rPr>
              <w:t>i</w:t>
            </w:r>
            <w:r>
              <w:rPr>
                <w:spacing w:val="-2"/>
                <w:sz w:val="21"/>
              </w:rPr>
              <w:t>t</w:t>
            </w:r>
            <w:r>
              <w:rPr>
                <w:sz w:val="21"/>
              </w:rPr>
              <w:t>e</w:t>
            </w:r>
            <w:r>
              <w:rPr>
                <w:spacing w:val="18"/>
                <w:sz w:val="21"/>
              </w:rPr>
              <w:t xml:space="preserve"> </w:t>
            </w:r>
            <w:r>
              <w:rPr>
                <w:spacing w:val="-1"/>
                <w:sz w:val="21"/>
              </w:rPr>
              <w:t>o</w:t>
            </w:r>
            <w:r>
              <w:rPr>
                <w:sz w:val="21"/>
              </w:rPr>
              <w:t>f</w:t>
            </w:r>
            <w:r>
              <w:rPr>
                <w:spacing w:val="21"/>
                <w:sz w:val="21"/>
              </w:rPr>
              <w:t xml:space="preserve"> </w:t>
            </w:r>
            <w:r>
              <w:rPr>
                <w:spacing w:val="-2"/>
                <w:sz w:val="21"/>
              </w:rPr>
              <w:t>t</w:t>
            </w:r>
            <w:r>
              <w:rPr>
                <w:spacing w:val="-3"/>
                <w:sz w:val="21"/>
              </w:rPr>
              <w:t>h</w:t>
            </w:r>
            <w:r>
              <w:rPr>
                <w:sz w:val="21"/>
              </w:rPr>
              <w:t>e</w:t>
            </w:r>
            <w:r>
              <w:rPr>
                <w:spacing w:val="20"/>
                <w:sz w:val="21"/>
              </w:rPr>
              <w:t xml:space="preserve"> </w:t>
            </w:r>
            <w:r>
              <w:rPr>
                <w:spacing w:val="-2"/>
                <w:sz w:val="21"/>
              </w:rPr>
              <w:t>Off</w:t>
            </w:r>
            <w:r>
              <w:rPr>
                <w:sz w:val="21"/>
              </w:rPr>
              <w:t>ice</w:t>
            </w:r>
            <w:r>
              <w:rPr>
                <w:spacing w:val="18"/>
                <w:sz w:val="21"/>
              </w:rPr>
              <w:t xml:space="preserve"> </w:t>
            </w:r>
            <w:r>
              <w:rPr>
                <w:spacing w:val="-3"/>
                <w:sz w:val="21"/>
              </w:rPr>
              <w:t>o</w:t>
            </w:r>
            <w:r>
              <w:rPr>
                <w:sz w:val="21"/>
              </w:rPr>
              <w:t xml:space="preserve">f </w:t>
            </w:r>
            <w:r>
              <w:rPr>
                <w:sz w:val="21"/>
              </w:rPr>
              <w:t>the Economic Adviser, Government of India, Ministry of Commerce and Industry,  Department  of  Industrial  Policy  and  Promotion  (DIPP)  on  the</w:t>
            </w:r>
            <w:r>
              <w:rPr>
                <w:spacing w:val="24"/>
                <w:sz w:val="21"/>
              </w:rPr>
              <w:t xml:space="preserve"> </w:t>
            </w:r>
            <w:r>
              <w:rPr>
                <w:sz w:val="21"/>
              </w:rPr>
              <w:t>link</w:t>
            </w:r>
          </w:p>
          <w:p w:rsidR="008215AB" w:rsidRDefault="006513FA">
            <w:pPr>
              <w:pStyle w:val="TableParagraph"/>
              <w:spacing w:line="241" w:lineRule="exact"/>
              <w:rPr>
                <w:sz w:val="21"/>
              </w:rPr>
            </w:pPr>
            <w:r>
              <w:rPr>
                <w:spacing w:val="-1"/>
                <w:w w:val="33"/>
                <w:sz w:val="21"/>
              </w:rPr>
              <w:t>―</w:t>
            </w:r>
            <w:hyperlink r:id="rId9">
              <w:r>
                <w:rPr>
                  <w:sz w:val="21"/>
                </w:rPr>
                <w:t>h</w:t>
              </w:r>
              <w:r>
                <w:rPr>
                  <w:spacing w:val="-1"/>
                  <w:sz w:val="21"/>
                </w:rPr>
                <w:t>t</w:t>
              </w:r>
              <w:r>
                <w:rPr>
                  <w:spacing w:val="-2"/>
                  <w:sz w:val="21"/>
                </w:rPr>
                <w:t>t</w:t>
              </w:r>
              <w:r>
                <w:rPr>
                  <w:sz w:val="21"/>
                </w:rPr>
                <w:t>p</w:t>
              </w:r>
              <w:r>
                <w:rPr>
                  <w:spacing w:val="-1"/>
                  <w:sz w:val="21"/>
                </w:rPr>
                <w:t>:</w:t>
              </w:r>
              <w:r>
                <w:rPr>
                  <w:spacing w:val="-2"/>
                  <w:sz w:val="21"/>
                </w:rPr>
                <w:t>//</w:t>
              </w:r>
              <w:r>
                <w:rPr>
                  <w:sz w:val="21"/>
                </w:rPr>
                <w:t>ea</w:t>
              </w:r>
              <w:r>
                <w:rPr>
                  <w:spacing w:val="1"/>
                  <w:sz w:val="21"/>
                </w:rPr>
                <w:t>i</w:t>
              </w:r>
              <w:r>
                <w:rPr>
                  <w:sz w:val="21"/>
                </w:rPr>
                <w:t>ndust</w:t>
              </w:r>
              <w:r>
                <w:rPr>
                  <w:spacing w:val="-2"/>
                  <w:sz w:val="21"/>
                </w:rPr>
                <w:t>r</w:t>
              </w:r>
              <w:r>
                <w:rPr>
                  <w:spacing w:val="-3"/>
                  <w:sz w:val="21"/>
                </w:rPr>
                <w:t>y</w:t>
              </w:r>
              <w:r>
                <w:rPr>
                  <w:spacing w:val="-2"/>
                  <w:sz w:val="21"/>
                </w:rPr>
                <w:t>.</w:t>
              </w:r>
              <w:r>
                <w:rPr>
                  <w:sz w:val="21"/>
                </w:rPr>
                <w:t>n</w:t>
              </w:r>
              <w:r>
                <w:rPr>
                  <w:spacing w:val="1"/>
                  <w:sz w:val="21"/>
                </w:rPr>
                <w:t>i</w:t>
              </w:r>
              <w:r>
                <w:rPr>
                  <w:sz w:val="21"/>
                </w:rPr>
                <w:t>c</w:t>
              </w:r>
              <w:r>
                <w:rPr>
                  <w:spacing w:val="-2"/>
                  <w:sz w:val="21"/>
                </w:rPr>
                <w:t>.i</w:t>
              </w:r>
              <w:r>
                <w:rPr>
                  <w:sz w:val="21"/>
                </w:rPr>
                <w:t>n</w:t>
              </w:r>
              <w:r>
                <w:rPr>
                  <w:spacing w:val="-1"/>
                  <w:sz w:val="21"/>
                </w:rPr>
                <w:t>/</w:t>
              </w:r>
              <w:r>
                <w:rPr>
                  <w:sz w:val="21"/>
                </w:rPr>
                <w:t>h</w:t>
              </w:r>
              <w:r>
                <w:rPr>
                  <w:spacing w:val="-3"/>
                  <w:sz w:val="21"/>
                </w:rPr>
                <w:t>o</w:t>
              </w:r>
              <w:r>
                <w:rPr>
                  <w:spacing w:val="1"/>
                  <w:sz w:val="21"/>
                </w:rPr>
                <w:t>m</w:t>
              </w:r>
              <w:r>
                <w:rPr>
                  <w:sz w:val="21"/>
                </w:rPr>
                <w:t>e</w:t>
              </w:r>
              <w:r>
                <w:rPr>
                  <w:spacing w:val="-1"/>
                  <w:sz w:val="21"/>
                </w:rPr>
                <w:t>.</w:t>
              </w:r>
              <w:r>
                <w:rPr>
                  <w:spacing w:val="-3"/>
                  <w:sz w:val="21"/>
                </w:rPr>
                <w:t>a</w:t>
              </w:r>
              <w:r>
                <w:rPr>
                  <w:sz w:val="21"/>
                </w:rPr>
                <w:t>sp</w:t>
              </w:r>
              <w:r>
                <w:rPr>
                  <w:spacing w:val="-2"/>
                  <w:w w:val="88"/>
                  <w:sz w:val="21"/>
                </w:rPr>
                <w:t>.‖</w:t>
              </w:r>
            </w:hyperlink>
          </w:p>
        </w:tc>
      </w:tr>
    </w:tbl>
    <w:p w:rsidR="008215AB" w:rsidRDefault="008215AB">
      <w:pPr>
        <w:spacing w:line="241" w:lineRule="exact"/>
        <w:rPr>
          <w:sz w:val="21"/>
        </w:rPr>
        <w:sectPr w:rsidR="008215AB">
          <w:pgSz w:w="11910" w:h="16840"/>
          <w:pgMar w:top="1340" w:right="1320" w:bottom="1220" w:left="940" w:header="0" w:footer="1034" w:gutter="0"/>
          <w:cols w:space="720"/>
        </w:sectPr>
      </w:pPr>
    </w:p>
    <w:p w:rsidR="008215AB" w:rsidRDefault="006513FA">
      <w:pPr>
        <w:spacing w:before="76" w:line="276" w:lineRule="auto"/>
        <w:ind w:left="1400" w:right="1016"/>
        <w:jc w:val="both"/>
        <w:rPr>
          <w:sz w:val="21"/>
        </w:rPr>
      </w:pPr>
      <w:r>
        <w:rPr>
          <w:sz w:val="21"/>
        </w:rPr>
        <w:t>1(b) Successful bidder shall be required to achieve the year-wise work programme within 8 contract years as per details given below, namely:-</w:t>
      </w:r>
    </w:p>
    <w:p w:rsidR="008215AB" w:rsidRDefault="008215AB">
      <w:pPr>
        <w:pStyle w:val="BodyText"/>
        <w:spacing w:before="7"/>
        <w:rPr>
          <w:sz w:val="24"/>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1352"/>
        <w:gridCol w:w="989"/>
        <w:gridCol w:w="1352"/>
        <w:gridCol w:w="989"/>
        <w:gridCol w:w="1892"/>
      </w:tblGrid>
      <w:tr w:rsidR="008215AB">
        <w:trPr>
          <w:trHeight w:val="556"/>
        </w:trPr>
        <w:tc>
          <w:tcPr>
            <w:tcW w:w="2341" w:type="dxa"/>
            <w:gridSpan w:val="2"/>
          </w:tcPr>
          <w:p w:rsidR="008215AB" w:rsidRDefault="006513FA">
            <w:pPr>
              <w:pStyle w:val="TableParagraph"/>
              <w:spacing w:line="236" w:lineRule="exact"/>
              <w:rPr>
                <w:b/>
                <w:sz w:val="21"/>
              </w:rPr>
            </w:pPr>
            <w:r>
              <w:rPr>
                <w:b/>
                <w:sz w:val="21"/>
              </w:rPr>
              <w:t>PNG Connections</w:t>
            </w:r>
          </w:p>
          <w:p w:rsidR="008215AB" w:rsidRDefault="006513FA">
            <w:pPr>
              <w:pStyle w:val="TableParagraph"/>
              <w:spacing w:before="37"/>
              <w:ind w:left="455"/>
              <w:rPr>
                <w:b/>
                <w:sz w:val="21"/>
              </w:rPr>
            </w:pPr>
            <w:r>
              <w:rPr>
                <w:b/>
                <w:sz w:val="21"/>
              </w:rPr>
              <w:t>(cumulative)</w:t>
            </w:r>
          </w:p>
        </w:tc>
        <w:tc>
          <w:tcPr>
            <w:tcW w:w="2341" w:type="dxa"/>
            <w:gridSpan w:val="2"/>
          </w:tcPr>
          <w:p w:rsidR="008215AB" w:rsidRDefault="006513FA">
            <w:pPr>
              <w:pStyle w:val="TableParagraph"/>
              <w:spacing w:line="236" w:lineRule="exact"/>
              <w:rPr>
                <w:b/>
                <w:sz w:val="21"/>
              </w:rPr>
            </w:pPr>
            <w:r>
              <w:rPr>
                <w:b/>
                <w:sz w:val="21"/>
              </w:rPr>
              <w:t>CNG stations</w:t>
            </w:r>
          </w:p>
          <w:p w:rsidR="008215AB" w:rsidRDefault="006513FA">
            <w:pPr>
              <w:pStyle w:val="TableParagraph"/>
              <w:spacing w:before="37"/>
              <w:rPr>
                <w:b/>
                <w:sz w:val="21"/>
              </w:rPr>
            </w:pPr>
            <w:r>
              <w:rPr>
                <w:b/>
                <w:sz w:val="21"/>
              </w:rPr>
              <w:t>(cumulative)</w:t>
            </w:r>
          </w:p>
        </w:tc>
        <w:tc>
          <w:tcPr>
            <w:tcW w:w="2881" w:type="dxa"/>
            <w:gridSpan w:val="2"/>
          </w:tcPr>
          <w:p w:rsidR="008215AB" w:rsidRDefault="006513FA">
            <w:pPr>
              <w:pStyle w:val="TableParagraph"/>
              <w:spacing w:line="236" w:lineRule="exact"/>
              <w:ind w:left="106"/>
              <w:rPr>
                <w:b/>
                <w:sz w:val="21"/>
              </w:rPr>
            </w:pPr>
            <w:r>
              <w:rPr>
                <w:b/>
                <w:sz w:val="21"/>
              </w:rPr>
              <w:t>Inch-km of steel pipeline</w:t>
            </w:r>
          </w:p>
          <w:p w:rsidR="008215AB" w:rsidRDefault="006513FA">
            <w:pPr>
              <w:pStyle w:val="TableParagraph"/>
              <w:spacing w:before="37"/>
              <w:ind w:left="106"/>
              <w:rPr>
                <w:b/>
                <w:sz w:val="21"/>
              </w:rPr>
            </w:pPr>
            <w:r>
              <w:rPr>
                <w:b/>
                <w:sz w:val="21"/>
              </w:rPr>
              <w:t>(cumulative)</w:t>
            </w:r>
          </w:p>
        </w:tc>
      </w:tr>
      <w:tr w:rsidR="008215AB">
        <w:trPr>
          <w:trHeight w:val="1110"/>
        </w:trPr>
        <w:tc>
          <w:tcPr>
            <w:tcW w:w="989" w:type="dxa"/>
          </w:tcPr>
          <w:p w:rsidR="008215AB" w:rsidRDefault="006513FA">
            <w:pPr>
              <w:pStyle w:val="TableParagraph"/>
              <w:spacing w:line="276" w:lineRule="auto"/>
              <w:ind w:right="105"/>
              <w:rPr>
                <w:sz w:val="21"/>
              </w:rPr>
            </w:pPr>
            <w:r>
              <w:rPr>
                <w:sz w:val="21"/>
              </w:rPr>
              <w:t>By the end of contract</w:t>
            </w:r>
          </w:p>
          <w:p w:rsidR="008215AB" w:rsidRDefault="006513FA">
            <w:pPr>
              <w:pStyle w:val="TableParagraph"/>
              <w:spacing w:line="241" w:lineRule="exact"/>
              <w:rPr>
                <w:sz w:val="21"/>
              </w:rPr>
            </w:pPr>
            <w:r>
              <w:rPr>
                <w:sz w:val="21"/>
              </w:rPr>
              <w:t>year</w:t>
            </w:r>
          </w:p>
        </w:tc>
        <w:tc>
          <w:tcPr>
            <w:tcW w:w="1352" w:type="dxa"/>
          </w:tcPr>
          <w:p w:rsidR="008215AB" w:rsidRDefault="006513FA">
            <w:pPr>
              <w:pStyle w:val="TableParagraph"/>
              <w:spacing w:line="276" w:lineRule="auto"/>
              <w:ind w:right="141"/>
              <w:rPr>
                <w:sz w:val="21"/>
              </w:rPr>
            </w:pPr>
            <w:r>
              <w:rPr>
                <w:sz w:val="21"/>
              </w:rPr>
              <w:t>% of work programme</w:t>
            </w:r>
          </w:p>
        </w:tc>
        <w:tc>
          <w:tcPr>
            <w:tcW w:w="989" w:type="dxa"/>
          </w:tcPr>
          <w:p w:rsidR="008215AB" w:rsidRDefault="006513FA">
            <w:pPr>
              <w:pStyle w:val="TableParagraph"/>
              <w:spacing w:line="276" w:lineRule="auto"/>
              <w:ind w:right="105"/>
              <w:rPr>
                <w:sz w:val="21"/>
              </w:rPr>
            </w:pPr>
            <w:r>
              <w:rPr>
                <w:sz w:val="21"/>
              </w:rPr>
              <w:t>By the end of contract</w:t>
            </w:r>
          </w:p>
          <w:p w:rsidR="008215AB" w:rsidRDefault="006513FA">
            <w:pPr>
              <w:pStyle w:val="TableParagraph"/>
              <w:spacing w:line="241" w:lineRule="exact"/>
              <w:rPr>
                <w:sz w:val="21"/>
              </w:rPr>
            </w:pPr>
            <w:r>
              <w:rPr>
                <w:sz w:val="21"/>
              </w:rPr>
              <w:t>year</w:t>
            </w:r>
          </w:p>
        </w:tc>
        <w:tc>
          <w:tcPr>
            <w:tcW w:w="1352" w:type="dxa"/>
          </w:tcPr>
          <w:p w:rsidR="008215AB" w:rsidRDefault="006513FA">
            <w:pPr>
              <w:pStyle w:val="TableParagraph"/>
              <w:spacing w:line="276" w:lineRule="auto"/>
              <w:ind w:right="141"/>
              <w:rPr>
                <w:sz w:val="21"/>
              </w:rPr>
            </w:pPr>
            <w:r>
              <w:rPr>
                <w:sz w:val="21"/>
              </w:rPr>
              <w:t>% of work programme</w:t>
            </w:r>
          </w:p>
        </w:tc>
        <w:tc>
          <w:tcPr>
            <w:tcW w:w="989" w:type="dxa"/>
          </w:tcPr>
          <w:p w:rsidR="008215AB" w:rsidRDefault="006513FA">
            <w:pPr>
              <w:pStyle w:val="TableParagraph"/>
              <w:spacing w:line="276" w:lineRule="auto"/>
              <w:ind w:left="106" w:right="106"/>
              <w:rPr>
                <w:sz w:val="21"/>
              </w:rPr>
            </w:pPr>
            <w:r>
              <w:rPr>
                <w:sz w:val="21"/>
              </w:rPr>
              <w:t>By the end of contract</w:t>
            </w:r>
          </w:p>
          <w:p w:rsidR="008215AB" w:rsidRDefault="006513FA">
            <w:pPr>
              <w:pStyle w:val="TableParagraph"/>
              <w:spacing w:line="241" w:lineRule="exact"/>
              <w:ind w:left="106"/>
              <w:rPr>
                <w:sz w:val="21"/>
              </w:rPr>
            </w:pPr>
            <w:r>
              <w:rPr>
                <w:sz w:val="21"/>
              </w:rPr>
              <w:t>year</w:t>
            </w:r>
          </w:p>
        </w:tc>
        <w:tc>
          <w:tcPr>
            <w:tcW w:w="1892" w:type="dxa"/>
          </w:tcPr>
          <w:p w:rsidR="008215AB" w:rsidRDefault="006513FA">
            <w:pPr>
              <w:pStyle w:val="TableParagraph"/>
              <w:spacing w:line="276" w:lineRule="auto"/>
              <w:ind w:left="106" w:right="682"/>
              <w:rPr>
                <w:sz w:val="21"/>
              </w:rPr>
            </w:pPr>
            <w:r>
              <w:rPr>
                <w:sz w:val="21"/>
              </w:rPr>
              <w:t>% of work programme</w:t>
            </w:r>
          </w:p>
        </w:tc>
      </w:tr>
      <w:tr w:rsidR="008215AB">
        <w:trPr>
          <w:trHeight w:val="277"/>
        </w:trPr>
        <w:tc>
          <w:tcPr>
            <w:tcW w:w="989" w:type="dxa"/>
          </w:tcPr>
          <w:p w:rsidR="008215AB" w:rsidRDefault="006513FA">
            <w:pPr>
              <w:pStyle w:val="TableParagraph"/>
              <w:spacing w:before="12" w:line="110" w:lineRule="auto"/>
              <w:rPr>
                <w:sz w:val="14"/>
              </w:rPr>
            </w:pPr>
            <w:r>
              <w:rPr>
                <w:position w:val="-9"/>
                <w:sz w:val="21"/>
              </w:rPr>
              <w:t>1</w:t>
            </w:r>
            <w:r>
              <w:rPr>
                <w:sz w:val="14"/>
              </w:rPr>
              <w:t>st</w:t>
            </w:r>
          </w:p>
        </w:tc>
        <w:tc>
          <w:tcPr>
            <w:tcW w:w="1352" w:type="dxa"/>
          </w:tcPr>
          <w:p w:rsidR="008215AB" w:rsidRDefault="006513FA">
            <w:pPr>
              <w:pStyle w:val="TableParagraph"/>
              <w:spacing w:line="236" w:lineRule="exact"/>
              <w:ind w:left="0" w:right="542"/>
              <w:jc w:val="right"/>
              <w:rPr>
                <w:sz w:val="21"/>
              </w:rPr>
            </w:pPr>
            <w:r>
              <w:rPr>
                <w:sz w:val="21"/>
              </w:rPr>
              <w:t>Nil</w:t>
            </w:r>
          </w:p>
        </w:tc>
        <w:tc>
          <w:tcPr>
            <w:tcW w:w="989" w:type="dxa"/>
          </w:tcPr>
          <w:p w:rsidR="008215AB" w:rsidRDefault="006513FA">
            <w:pPr>
              <w:pStyle w:val="TableParagraph"/>
              <w:spacing w:before="12" w:line="110" w:lineRule="auto"/>
              <w:ind w:left="0" w:right="370"/>
              <w:jc w:val="right"/>
              <w:rPr>
                <w:sz w:val="14"/>
              </w:rPr>
            </w:pPr>
            <w:r>
              <w:rPr>
                <w:position w:val="-9"/>
                <w:sz w:val="21"/>
              </w:rPr>
              <w:t>1</w:t>
            </w:r>
            <w:r>
              <w:rPr>
                <w:sz w:val="14"/>
              </w:rPr>
              <w:t>st</w:t>
            </w:r>
          </w:p>
        </w:tc>
        <w:tc>
          <w:tcPr>
            <w:tcW w:w="1352" w:type="dxa"/>
          </w:tcPr>
          <w:p w:rsidR="008215AB" w:rsidRDefault="006513FA">
            <w:pPr>
              <w:pStyle w:val="TableParagraph"/>
              <w:spacing w:line="236" w:lineRule="exact"/>
              <w:ind w:left="551"/>
              <w:rPr>
                <w:sz w:val="21"/>
              </w:rPr>
            </w:pPr>
            <w:r>
              <w:rPr>
                <w:sz w:val="21"/>
              </w:rPr>
              <w:t>Nil</w:t>
            </w:r>
          </w:p>
        </w:tc>
        <w:tc>
          <w:tcPr>
            <w:tcW w:w="989" w:type="dxa"/>
          </w:tcPr>
          <w:p w:rsidR="008215AB" w:rsidRDefault="006513FA">
            <w:pPr>
              <w:pStyle w:val="TableParagraph"/>
              <w:spacing w:before="12" w:line="110" w:lineRule="auto"/>
              <w:ind w:left="335" w:right="328"/>
              <w:jc w:val="center"/>
              <w:rPr>
                <w:sz w:val="14"/>
              </w:rPr>
            </w:pPr>
            <w:r>
              <w:rPr>
                <w:position w:val="-9"/>
                <w:sz w:val="21"/>
              </w:rPr>
              <w:t>1</w:t>
            </w:r>
            <w:r>
              <w:rPr>
                <w:sz w:val="14"/>
              </w:rPr>
              <w:t>st</w:t>
            </w:r>
          </w:p>
        </w:tc>
        <w:tc>
          <w:tcPr>
            <w:tcW w:w="1892" w:type="dxa"/>
          </w:tcPr>
          <w:p w:rsidR="008215AB" w:rsidRDefault="006513FA">
            <w:pPr>
              <w:pStyle w:val="TableParagraph"/>
              <w:spacing w:line="236" w:lineRule="exact"/>
              <w:ind w:left="3"/>
              <w:jc w:val="center"/>
              <w:rPr>
                <w:sz w:val="21"/>
              </w:rPr>
            </w:pPr>
            <w:r>
              <w:rPr>
                <w:sz w:val="21"/>
              </w:rPr>
              <w:t>5</w:t>
            </w:r>
          </w:p>
        </w:tc>
      </w:tr>
      <w:tr w:rsidR="008215AB">
        <w:trPr>
          <w:trHeight w:val="275"/>
        </w:trPr>
        <w:tc>
          <w:tcPr>
            <w:tcW w:w="989" w:type="dxa"/>
          </w:tcPr>
          <w:p w:rsidR="008215AB" w:rsidRDefault="006513FA">
            <w:pPr>
              <w:pStyle w:val="TableParagraph"/>
              <w:spacing w:before="12" w:line="110" w:lineRule="auto"/>
              <w:rPr>
                <w:sz w:val="14"/>
              </w:rPr>
            </w:pPr>
            <w:r>
              <w:rPr>
                <w:position w:val="-9"/>
                <w:sz w:val="21"/>
              </w:rPr>
              <w:t>2</w:t>
            </w:r>
            <w:r>
              <w:rPr>
                <w:sz w:val="14"/>
              </w:rPr>
              <w:t>nd</w:t>
            </w:r>
          </w:p>
        </w:tc>
        <w:tc>
          <w:tcPr>
            <w:tcW w:w="1352" w:type="dxa"/>
          </w:tcPr>
          <w:p w:rsidR="008215AB" w:rsidRDefault="006513FA">
            <w:pPr>
              <w:pStyle w:val="TableParagraph"/>
              <w:spacing w:line="236" w:lineRule="exact"/>
              <w:ind w:left="0" w:right="548"/>
              <w:jc w:val="right"/>
              <w:rPr>
                <w:sz w:val="21"/>
              </w:rPr>
            </w:pPr>
            <w:r>
              <w:rPr>
                <w:sz w:val="21"/>
              </w:rPr>
              <w:t>10</w:t>
            </w:r>
          </w:p>
        </w:tc>
        <w:tc>
          <w:tcPr>
            <w:tcW w:w="989" w:type="dxa"/>
          </w:tcPr>
          <w:p w:rsidR="008215AB" w:rsidRDefault="006513FA">
            <w:pPr>
              <w:pStyle w:val="TableParagraph"/>
              <w:spacing w:before="12" w:line="110" w:lineRule="auto"/>
              <w:ind w:left="0" w:right="348"/>
              <w:jc w:val="right"/>
              <w:rPr>
                <w:sz w:val="14"/>
              </w:rPr>
            </w:pPr>
            <w:r>
              <w:rPr>
                <w:position w:val="-9"/>
                <w:sz w:val="21"/>
              </w:rPr>
              <w:t>2</w:t>
            </w:r>
            <w:r>
              <w:rPr>
                <w:sz w:val="14"/>
              </w:rPr>
              <w:t>nd</w:t>
            </w:r>
          </w:p>
        </w:tc>
        <w:tc>
          <w:tcPr>
            <w:tcW w:w="1352" w:type="dxa"/>
          </w:tcPr>
          <w:p w:rsidR="008215AB" w:rsidRDefault="006513FA">
            <w:pPr>
              <w:pStyle w:val="TableParagraph"/>
              <w:spacing w:line="236" w:lineRule="exact"/>
              <w:ind w:left="556"/>
              <w:rPr>
                <w:sz w:val="21"/>
              </w:rPr>
            </w:pPr>
            <w:r>
              <w:rPr>
                <w:sz w:val="21"/>
              </w:rPr>
              <w:t>15</w:t>
            </w:r>
          </w:p>
        </w:tc>
        <w:tc>
          <w:tcPr>
            <w:tcW w:w="989" w:type="dxa"/>
          </w:tcPr>
          <w:p w:rsidR="008215AB" w:rsidRDefault="006513FA">
            <w:pPr>
              <w:pStyle w:val="TableParagraph"/>
              <w:spacing w:before="12" w:line="110" w:lineRule="auto"/>
              <w:ind w:left="335" w:right="331"/>
              <w:jc w:val="center"/>
              <w:rPr>
                <w:sz w:val="14"/>
              </w:rPr>
            </w:pPr>
            <w:r>
              <w:rPr>
                <w:position w:val="-9"/>
                <w:sz w:val="21"/>
              </w:rPr>
              <w:t>2</w:t>
            </w:r>
            <w:r>
              <w:rPr>
                <w:sz w:val="14"/>
              </w:rPr>
              <w:t>nd</w:t>
            </w:r>
          </w:p>
        </w:tc>
        <w:tc>
          <w:tcPr>
            <w:tcW w:w="1892" w:type="dxa"/>
          </w:tcPr>
          <w:p w:rsidR="008215AB" w:rsidRDefault="006513FA">
            <w:pPr>
              <w:pStyle w:val="TableParagraph"/>
              <w:spacing w:line="236" w:lineRule="exact"/>
              <w:ind w:left="0" w:right="818"/>
              <w:jc w:val="right"/>
              <w:rPr>
                <w:sz w:val="21"/>
              </w:rPr>
            </w:pPr>
            <w:r>
              <w:rPr>
                <w:sz w:val="21"/>
              </w:rPr>
              <w:t>20</w:t>
            </w:r>
          </w:p>
        </w:tc>
      </w:tr>
      <w:tr w:rsidR="008215AB">
        <w:trPr>
          <w:trHeight w:val="278"/>
        </w:trPr>
        <w:tc>
          <w:tcPr>
            <w:tcW w:w="989" w:type="dxa"/>
          </w:tcPr>
          <w:p w:rsidR="008215AB" w:rsidRDefault="006513FA">
            <w:pPr>
              <w:pStyle w:val="TableParagraph"/>
              <w:spacing w:before="13" w:line="112" w:lineRule="auto"/>
              <w:rPr>
                <w:sz w:val="14"/>
              </w:rPr>
            </w:pPr>
            <w:r>
              <w:rPr>
                <w:position w:val="-9"/>
                <w:sz w:val="21"/>
              </w:rPr>
              <w:t>3</w:t>
            </w:r>
            <w:r>
              <w:rPr>
                <w:sz w:val="14"/>
              </w:rPr>
              <w:t>rd</w:t>
            </w:r>
          </w:p>
        </w:tc>
        <w:tc>
          <w:tcPr>
            <w:tcW w:w="1352" w:type="dxa"/>
          </w:tcPr>
          <w:p w:rsidR="008215AB" w:rsidRDefault="006513FA">
            <w:pPr>
              <w:pStyle w:val="TableParagraph"/>
              <w:spacing w:line="239" w:lineRule="exact"/>
              <w:ind w:left="0" w:right="548"/>
              <w:jc w:val="right"/>
              <w:rPr>
                <w:sz w:val="21"/>
              </w:rPr>
            </w:pPr>
            <w:r>
              <w:rPr>
                <w:sz w:val="21"/>
              </w:rPr>
              <w:t>20</w:t>
            </w:r>
          </w:p>
        </w:tc>
        <w:tc>
          <w:tcPr>
            <w:tcW w:w="989" w:type="dxa"/>
          </w:tcPr>
          <w:p w:rsidR="008215AB" w:rsidRDefault="006513FA">
            <w:pPr>
              <w:pStyle w:val="TableParagraph"/>
              <w:spacing w:before="13" w:line="112" w:lineRule="auto"/>
              <w:ind w:left="0" w:right="365"/>
              <w:jc w:val="right"/>
              <w:rPr>
                <w:sz w:val="14"/>
              </w:rPr>
            </w:pPr>
            <w:r>
              <w:rPr>
                <w:position w:val="-9"/>
                <w:sz w:val="21"/>
              </w:rPr>
              <w:t>3</w:t>
            </w:r>
            <w:r>
              <w:rPr>
                <w:sz w:val="14"/>
              </w:rPr>
              <w:t>rd</w:t>
            </w:r>
          </w:p>
        </w:tc>
        <w:tc>
          <w:tcPr>
            <w:tcW w:w="1352" w:type="dxa"/>
          </w:tcPr>
          <w:p w:rsidR="008215AB" w:rsidRDefault="006513FA">
            <w:pPr>
              <w:pStyle w:val="TableParagraph"/>
              <w:spacing w:line="239" w:lineRule="exact"/>
              <w:ind w:left="556"/>
              <w:rPr>
                <w:sz w:val="21"/>
              </w:rPr>
            </w:pPr>
            <w:r>
              <w:rPr>
                <w:sz w:val="21"/>
              </w:rPr>
              <w:t>30</w:t>
            </w:r>
          </w:p>
        </w:tc>
        <w:tc>
          <w:tcPr>
            <w:tcW w:w="989" w:type="dxa"/>
          </w:tcPr>
          <w:p w:rsidR="008215AB" w:rsidRDefault="006513FA">
            <w:pPr>
              <w:pStyle w:val="TableParagraph"/>
              <w:spacing w:before="13" w:line="112" w:lineRule="auto"/>
              <w:ind w:left="333" w:right="331"/>
              <w:jc w:val="center"/>
              <w:rPr>
                <w:sz w:val="14"/>
              </w:rPr>
            </w:pPr>
            <w:r>
              <w:rPr>
                <w:position w:val="-9"/>
                <w:sz w:val="21"/>
              </w:rPr>
              <w:t>3</w:t>
            </w:r>
            <w:r>
              <w:rPr>
                <w:sz w:val="14"/>
              </w:rPr>
              <w:t>rd</w:t>
            </w:r>
          </w:p>
        </w:tc>
        <w:tc>
          <w:tcPr>
            <w:tcW w:w="1892" w:type="dxa"/>
          </w:tcPr>
          <w:p w:rsidR="008215AB" w:rsidRDefault="006513FA">
            <w:pPr>
              <w:pStyle w:val="TableParagraph"/>
              <w:spacing w:line="239" w:lineRule="exact"/>
              <w:ind w:left="0" w:right="818"/>
              <w:jc w:val="right"/>
              <w:rPr>
                <w:sz w:val="21"/>
              </w:rPr>
            </w:pPr>
            <w:r>
              <w:rPr>
                <w:sz w:val="21"/>
              </w:rPr>
              <w:t>40</w:t>
            </w:r>
          </w:p>
        </w:tc>
      </w:tr>
      <w:tr w:rsidR="008215AB">
        <w:trPr>
          <w:trHeight w:val="278"/>
        </w:trPr>
        <w:tc>
          <w:tcPr>
            <w:tcW w:w="989" w:type="dxa"/>
          </w:tcPr>
          <w:p w:rsidR="008215AB" w:rsidRDefault="006513FA">
            <w:pPr>
              <w:pStyle w:val="TableParagraph"/>
              <w:spacing w:before="13" w:line="112" w:lineRule="auto"/>
              <w:rPr>
                <w:sz w:val="14"/>
              </w:rPr>
            </w:pPr>
            <w:r>
              <w:rPr>
                <w:position w:val="-9"/>
                <w:sz w:val="21"/>
              </w:rPr>
              <w:t>4</w:t>
            </w:r>
            <w:r>
              <w:rPr>
                <w:sz w:val="14"/>
              </w:rPr>
              <w:t>th</w:t>
            </w:r>
          </w:p>
        </w:tc>
        <w:tc>
          <w:tcPr>
            <w:tcW w:w="1352" w:type="dxa"/>
          </w:tcPr>
          <w:p w:rsidR="008215AB" w:rsidRDefault="006513FA">
            <w:pPr>
              <w:pStyle w:val="TableParagraph"/>
              <w:spacing w:line="239" w:lineRule="exact"/>
              <w:ind w:left="0" w:right="548"/>
              <w:jc w:val="right"/>
              <w:rPr>
                <w:sz w:val="21"/>
              </w:rPr>
            </w:pPr>
            <w:r>
              <w:rPr>
                <w:sz w:val="21"/>
              </w:rPr>
              <w:t>30</w:t>
            </w:r>
          </w:p>
        </w:tc>
        <w:tc>
          <w:tcPr>
            <w:tcW w:w="989" w:type="dxa"/>
          </w:tcPr>
          <w:p w:rsidR="008215AB" w:rsidRDefault="006513FA">
            <w:pPr>
              <w:pStyle w:val="TableParagraph"/>
              <w:spacing w:before="13" w:line="112" w:lineRule="auto"/>
              <w:ind w:left="0" w:right="367"/>
              <w:jc w:val="right"/>
              <w:rPr>
                <w:sz w:val="14"/>
              </w:rPr>
            </w:pPr>
            <w:r>
              <w:rPr>
                <w:position w:val="-9"/>
                <w:sz w:val="21"/>
              </w:rPr>
              <w:t>4</w:t>
            </w:r>
            <w:r>
              <w:rPr>
                <w:sz w:val="14"/>
              </w:rPr>
              <w:t>th</w:t>
            </w:r>
          </w:p>
        </w:tc>
        <w:tc>
          <w:tcPr>
            <w:tcW w:w="1352" w:type="dxa"/>
          </w:tcPr>
          <w:p w:rsidR="008215AB" w:rsidRDefault="006513FA">
            <w:pPr>
              <w:pStyle w:val="TableParagraph"/>
              <w:spacing w:line="239" w:lineRule="exact"/>
              <w:ind w:left="556"/>
              <w:rPr>
                <w:sz w:val="21"/>
              </w:rPr>
            </w:pPr>
            <w:r>
              <w:rPr>
                <w:sz w:val="21"/>
              </w:rPr>
              <w:t>45</w:t>
            </w:r>
          </w:p>
        </w:tc>
        <w:tc>
          <w:tcPr>
            <w:tcW w:w="989" w:type="dxa"/>
          </w:tcPr>
          <w:p w:rsidR="008215AB" w:rsidRDefault="006513FA">
            <w:pPr>
              <w:pStyle w:val="TableParagraph"/>
              <w:spacing w:before="13" w:line="112" w:lineRule="auto"/>
              <w:ind w:left="335" w:right="330"/>
              <w:jc w:val="center"/>
              <w:rPr>
                <w:sz w:val="14"/>
              </w:rPr>
            </w:pPr>
            <w:r>
              <w:rPr>
                <w:position w:val="-9"/>
                <w:sz w:val="21"/>
              </w:rPr>
              <w:t>4</w:t>
            </w:r>
            <w:r>
              <w:rPr>
                <w:sz w:val="14"/>
              </w:rPr>
              <w:t>th</w:t>
            </w:r>
          </w:p>
        </w:tc>
        <w:tc>
          <w:tcPr>
            <w:tcW w:w="1892" w:type="dxa"/>
          </w:tcPr>
          <w:p w:rsidR="008215AB" w:rsidRDefault="006513FA">
            <w:pPr>
              <w:pStyle w:val="TableParagraph"/>
              <w:spacing w:line="239" w:lineRule="exact"/>
              <w:ind w:left="0" w:right="818"/>
              <w:jc w:val="right"/>
              <w:rPr>
                <w:sz w:val="21"/>
              </w:rPr>
            </w:pPr>
            <w:r>
              <w:rPr>
                <w:sz w:val="21"/>
              </w:rPr>
              <w:t>60</w:t>
            </w:r>
          </w:p>
        </w:tc>
      </w:tr>
      <w:tr w:rsidR="008215AB">
        <w:trPr>
          <w:trHeight w:val="278"/>
        </w:trPr>
        <w:tc>
          <w:tcPr>
            <w:tcW w:w="989" w:type="dxa"/>
          </w:tcPr>
          <w:p w:rsidR="008215AB" w:rsidRDefault="006513FA">
            <w:pPr>
              <w:pStyle w:val="TableParagraph"/>
              <w:spacing w:before="12" w:line="110" w:lineRule="auto"/>
              <w:rPr>
                <w:sz w:val="14"/>
              </w:rPr>
            </w:pPr>
            <w:r>
              <w:rPr>
                <w:position w:val="-9"/>
                <w:sz w:val="21"/>
              </w:rPr>
              <w:t>5</w:t>
            </w:r>
            <w:r>
              <w:rPr>
                <w:sz w:val="14"/>
              </w:rPr>
              <w:t>th</w:t>
            </w:r>
          </w:p>
        </w:tc>
        <w:tc>
          <w:tcPr>
            <w:tcW w:w="1352" w:type="dxa"/>
          </w:tcPr>
          <w:p w:rsidR="008215AB" w:rsidRDefault="006513FA">
            <w:pPr>
              <w:pStyle w:val="TableParagraph"/>
              <w:spacing w:line="236" w:lineRule="exact"/>
              <w:ind w:left="0" w:right="548"/>
              <w:jc w:val="right"/>
              <w:rPr>
                <w:sz w:val="21"/>
              </w:rPr>
            </w:pPr>
            <w:r>
              <w:rPr>
                <w:sz w:val="21"/>
              </w:rPr>
              <w:t>40</w:t>
            </w:r>
          </w:p>
        </w:tc>
        <w:tc>
          <w:tcPr>
            <w:tcW w:w="989" w:type="dxa"/>
          </w:tcPr>
          <w:p w:rsidR="008215AB" w:rsidRDefault="006513FA">
            <w:pPr>
              <w:pStyle w:val="TableParagraph"/>
              <w:spacing w:before="12" w:line="110" w:lineRule="auto"/>
              <w:ind w:left="0" w:right="367"/>
              <w:jc w:val="right"/>
              <w:rPr>
                <w:sz w:val="14"/>
              </w:rPr>
            </w:pPr>
            <w:r>
              <w:rPr>
                <w:position w:val="-9"/>
                <w:sz w:val="21"/>
              </w:rPr>
              <w:t>5</w:t>
            </w:r>
            <w:r>
              <w:rPr>
                <w:sz w:val="14"/>
              </w:rPr>
              <w:t>th</w:t>
            </w:r>
          </w:p>
        </w:tc>
        <w:tc>
          <w:tcPr>
            <w:tcW w:w="1352" w:type="dxa"/>
          </w:tcPr>
          <w:p w:rsidR="008215AB" w:rsidRDefault="006513FA">
            <w:pPr>
              <w:pStyle w:val="TableParagraph"/>
              <w:spacing w:line="236" w:lineRule="exact"/>
              <w:ind w:left="556"/>
              <w:rPr>
                <w:sz w:val="21"/>
              </w:rPr>
            </w:pPr>
            <w:r>
              <w:rPr>
                <w:sz w:val="21"/>
              </w:rPr>
              <w:t>60</w:t>
            </w:r>
          </w:p>
        </w:tc>
        <w:tc>
          <w:tcPr>
            <w:tcW w:w="989" w:type="dxa"/>
          </w:tcPr>
          <w:p w:rsidR="008215AB" w:rsidRDefault="006513FA">
            <w:pPr>
              <w:pStyle w:val="TableParagraph"/>
              <w:spacing w:before="12" w:line="110" w:lineRule="auto"/>
              <w:ind w:left="335" w:right="330"/>
              <w:jc w:val="center"/>
              <w:rPr>
                <w:sz w:val="14"/>
              </w:rPr>
            </w:pPr>
            <w:r>
              <w:rPr>
                <w:position w:val="-9"/>
                <w:sz w:val="21"/>
              </w:rPr>
              <w:t>5</w:t>
            </w:r>
            <w:r>
              <w:rPr>
                <w:sz w:val="14"/>
              </w:rPr>
              <w:t>th</w:t>
            </w:r>
          </w:p>
        </w:tc>
        <w:tc>
          <w:tcPr>
            <w:tcW w:w="1892" w:type="dxa"/>
          </w:tcPr>
          <w:p w:rsidR="008215AB" w:rsidRDefault="006513FA">
            <w:pPr>
              <w:pStyle w:val="TableParagraph"/>
              <w:spacing w:line="236" w:lineRule="exact"/>
              <w:ind w:left="0" w:right="818"/>
              <w:jc w:val="right"/>
              <w:rPr>
                <w:sz w:val="21"/>
              </w:rPr>
            </w:pPr>
            <w:r>
              <w:rPr>
                <w:sz w:val="21"/>
              </w:rPr>
              <w:t>70</w:t>
            </w:r>
          </w:p>
        </w:tc>
      </w:tr>
      <w:tr w:rsidR="008215AB">
        <w:trPr>
          <w:trHeight w:val="277"/>
        </w:trPr>
        <w:tc>
          <w:tcPr>
            <w:tcW w:w="989" w:type="dxa"/>
          </w:tcPr>
          <w:p w:rsidR="008215AB" w:rsidRDefault="006513FA">
            <w:pPr>
              <w:pStyle w:val="TableParagraph"/>
              <w:spacing w:before="12" w:line="110" w:lineRule="auto"/>
              <w:rPr>
                <w:sz w:val="14"/>
              </w:rPr>
            </w:pPr>
            <w:r>
              <w:rPr>
                <w:position w:val="-9"/>
                <w:sz w:val="21"/>
              </w:rPr>
              <w:t>6</w:t>
            </w:r>
            <w:r>
              <w:rPr>
                <w:sz w:val="14"/>
              </w:rPr>
              <w:t>th</w:t>
            </w:r>
          </w:p>
        </w:tc>
        <w:tc>
          <w:tcPr>
            <w:tcW w:w="1352" w:type="dxa"/>
          </w:tcPr>
          <w:p w:rsidR="008215AB" w:rsidRDefault="006513FA">
            <w:pPr>
              <w:pStyle w:val="TableParagraph"/>
              <w:spacing w:line="236" w:lineRule="exact"/>
              <w:ind w:left="0" w:right="548"/>
              <w:jc w:val="right"/>
              <w:rPr>
                <w:sz w:val="21"/>
              </w:rPr>
            </w:pPr>
            <w:r>
              <w:rPr>
                <w:sz w:val="21"/>
              </w:rPr>
              <w:t>60</w:t>
            </w:r>
          </w:p>
        </w:tc>
        <w:tc>
          <w:tcPr>
            <w:tcW w:w="989" w:type="dxa"/>
          </w:tcPr>
          <w:p w:rsidR="008215AB" w:rsidRDefault="006513FA">
            <w:pPr>
              <w:pStyle w:val="TableParagraph"/>
              <w:spacing w:before="12" w:line="110" w:lineRule="auto"/>
              <w:ind w:left="0" w:right="367"/>
              <w:jc w:val="right"/>
              <w:rPr>
                <w:sz w:val="14"/>
              </w:rPr>
            </w:pPr>
            <w:r>
              <w:rPr>
                <w:position w:val="-9"/>
                <w:sz w:val="21"/>
              </w:rPr>
              <w:t>6</w:t>
            </w:r>
            <w:r>
              <w:rPr>
                <w:sz w:val="14"/>
              </w:rPr>
              <w:t>th</w:t>
            </w:r>
          </w:p>
        </w:tc>
        <w:tc>
          <w:tcPr>
            <w:tcW w:w="1352" w:type="dxa"/>
          </w:tcPr>
          <w:p w:rsidR="008215AB" w:rsidRDefault="006513FA">
            <w:pPr>
              <w:pStyle w:val="TableParagraph"/>
              <w:spacing w:line="236" w:lineRule="exact"/>
              <w:ind w:left="556"/>
              <w:rPr>
                <w:sz w:val="21"/>
              </w:rPr>
            </w:pPr>
            <w:r>
              <w:rPr>
                <w:sz w:val="21"/>
              </w:rPr>
              <w:t>75</w:t>
            </w:r>
          </w:p>
        </w:tc>
        <w:tc>
          <w:tcPr>
            <w:tcW w:w="989" w:type="dxa"/>
          </w:tcPr>
          <w:p w:rsidR="008215AB" w:rsidRDefault="006513FA">
            <w:pPr>
              <w:pStyle w:val="TableParagraph"/>
              <w:spacing w:before="12" w:line="110" w:lineRule="auto"/>
              <w:ind w:left="335" w:right="330"/>
              <w:jc w:val="center"/>
              <w:rPr>
                <w:sz w:val="14"/>
              </w:rPr>
            </w:pPr>
            <w:r>
              <w:rPr>
                <w:position w:val="-9"/>
                <w:sz w:val="21"/>
              </w:rPr>
              <w:t>6</w:t>
            </w:r>
            <w:r>
              <w:rPr>
                <w:sz w:val="14"/>
              </w:rPr>
              <w:t>th</w:t>
            </w:r>
          </w:p>
        </w:tc>
        <w:tc>
          <w:tcPr>
            <w:tcW w:w="1892" w:type="dxa"/>
          </w:tcPr>
          <w:p w:rsidR="008215AB" w:rsidRDefault="006513FA">
            <w:pPr>
              <w:pStyle w:val="TableParagraph"/>
              <w:spacing w:line="236" w:lineRule="exact"/>
              <w:ind w:left="0" w:right="818"/>
              <w:jc w:val="right"/>
              <w:rPr>
                <w:sz w:val="21"/>
              </w:rPr>
            </w:pPr>
            <w:r>
              <w:rPr>
                <w:sz w:val="21"/>
              </w:rPr>
              <w:t>80</w:t>
            </w:r>
          </w:p>
        </w:tc>
      </w:tr>
      <w:tr w:rsidR="008215AB">
        <w:trPr>
          <w:trHeight w:val="277"/>
        </w:trPr>
        <w:tc>
          <w:tcPr>
            <w:tcW w:w="989" w:type="dxa"/>
          </w:tcPr>
          <w:p w:rsidR="008215AB" w:rsidRDefault="006513FA">
            <w:pPr>
              <w:pStyle w:val="TableParagraph"/>
              <w:spacing w:before="12" w:line="110" w:lineRule="auto"/>
              <w:rPr>
                <w:sz w:val="14"/>
              </w:rPr>
            </w:pPr>
            <w:r>
              <w:rPr>
                <w:position w:val="-9"/>
                <w:sz w:val="21"/>
              </w:rPr>
              <w:t>7</w:t>
            </w:r>
            <w:r>
              <w:rPr>
                <w:sz w:val="14"/>
              </w:rPr>
              <w:t>th</w:t>
            </w:r>
          </w:p>
        </w:tc>
        <w:tc>
          <w:tcPr>
            <w:tcW w:w="1352" w:type="dxa"/>
          </w:tcPr>
          <w:p w:rsidR="008215AB" w:rsidRDefault="006513FA">
            <w:pPr>
              <w:pStyle w:val="TableParagraph"/>
              <w:spacing w:line="236" w:lineRule="exact"/>
              <w:ind w:left="0" w:right="548"/>
              <w:jc w:val="right"/>
              <w:rPr>
                <w:sz w:val="21"/>
              </w:rPr>
            </w:pPr>
            <w:r>
              <w:rPr>
                <w:sz w:val="21"/>
              </w:rPr>
              <w:t>80</w:t>
            </w:r>
          </w:p>
        </w:tc>
        <w:tc>
          <w:tcPr>
            <w:tcW w:w="989" w:type="dxa"/>
          </w:tcPr>
          <w:p w:rsidR="008215AB" w:rsidRDefault="006513FA">
            <w:pPr>
              <w:pStyle w:val="TableParagraph"/>
              <w:spacing w:before="12" w:line="110" w:lineRule="auto"/>
              <w:ind w:left="0" w:right="367"/>
              <w:jc w:val="right"/>
              <w:rPr>
                <w:sz w:val="14"/>
              </w:rPr>
            </w:pPr>
            <w:r>
              <w:rPr>
                <w:position w:val="-9"/>
                <w:sz w:val="21"/>
              </w:rPr>
              <w:t>7</w:t>
            </w:r>
            <w:r>
              <w:rPr>
                <w:sz w:val="14"/>
              </w:rPr>
              <w:t>th</w:t>
            </w:r>
          </w:p>
        </w:tc>
        <w:tc>
          <w:tcPr>
            <w:tcW w:w="1352" w:type="dxa"/>
          </w:tcPr>
          <w:p w:rsidR="008215AB" w:rsidRDefault="006513FA">
            <w:pPr>
              <w:pStyle w:val="TableParagraph"/>
              <w:spacing w:line="236" w:lineRule="exact"/>
              <w:ind w:left="556"/>
              <w:rPr>
                <w:sz w:val="21"/>
              </w:rPr>
            </w:pPr>
            <w:r>
              <w:rPr>
                <w:sz w:val="21"/>
              </w:rPr>
              <w:t>90</w:t>
            </w:r>
          </w:p>
        </w:tc>
        <w:tc>
          <w:tcPr>
            <w:tcW w:w="989" w:type="dxa"/>
          </w:tcPr>
          <w:p w:rsidR="008215AB" w:rsidRDefault="006513FA">
            <w:pPr>
              <w:pStyle w:val="TableParagraph"/>
              <w:spacing w:before="12" w:line="110" w:lineRule="auto"/>
              <w:ind w:left="335" w:right="330"/>
              <w:jc w:val="center"/>
              <w:rPr>
                <w:sz w:val="14"/>
              </w:rPr>
            </w:pPr>
            <w:r>
              <w:rPr>
                <w:position w:val="-9"/>
                <w:sz w:val="21"/>
              </w:rPr>
              <w:t>7</w:t>
            </w:r>
            <w:r>
              <w:rPr>
                <w:sz w:val="14"/>
              </w:rPr>
              <w:t>th</w:t>
            </w:r>
          </w:p>
        </w:tc>
        <w:tc>
          <w:tcPr>
            <w:tcW w:w="1892" w:type="dxa"/>
          </w:tcPr>
          <w:p w:rsidR="008215AB" w:rsidRDefault="006513FA">
            <w:pPr>
              <w:pStyle w:val="TableParagraph"/>
              <w:spacing w:line="236" w:lineRule="exact"/>
              <w:ind w:left="0" w:right="818"/>
              <w:jc w:val="right"/>
              <w:rPr>
                <w:sz w:val="21"/>
              </w:rPr>
            </w:pPr>
            <w:r>
              <w:rPr>
                <w:sz w:val="21"/>
              </w:rPr>
              <w:t>90</w:t>
            </w:r>
          </w:p>
        </w:tc>
      </w:tr>
      <w:tr w:rsidR="008215AB">
        <w:trPr>
          <w:trHeight w:val="278"/>
        </w:trPr>
        <w:tc>
          <w:tcPr>
            <w:tcW w:w="989" w:type="dxa"/>
          </w:tcPr>
          <w:p w:rsidR="008215AB" w:rsidRDefault="006513FA">
            <w:pPr>
              <w:pStyle w:val="TableParagraph"/>
              <w:spacing w:before="12" w:line="110" w:lineRule="auto"/>
              <w:rPr>
                <w:sz w:val="14"/>
              </w:rPr>
            </w:pPr>
            <w:r>
              <w:rPr>
                <w:position w:val="-9"/>
                <w:sz w:val="21"/>
              </w:rPr>
              <w:t>8</w:t>
            </w:r>
            <w:r>
              <w:rPr>
                <w:sz w:val="14"/>
              </w:rPr>
              <w:t>th</w:t>
            </w:r>
          </w:p>
        </w:tc>
        <w:tc>
          <w:tcPr>
            <w:tcW w:w="1352" w:type="dxa"/>
          </w:tcPr>
          <w:p w:rsidR="008215AB" w:rsidRDefault="006513FA">
            <w:pPr>
              <w:pStyle w:val="TableParagraph"/>
              <w:spacing w:line="236" w:lineRule="exact"/>
              <w:ind w:left="0" w:right="488"/>
              <w:jc w:val="right"/>
              <w:rPr>
                <w:sz w:val="21"/>
              </w:rPr>
            </w:pPr>
            <w:r>
              <w:rPr>
                <w:sz w:val="21"/>
              </w:rPr>
              <w:t>100</w:t>
            </w:r>
          </w:p>
        </w:tc>
        <w:tc>
          <w:tcPr>
            <w:tcW w:w="989" w:type="dxa"/>
          </w:tcPr>
          <w:p w:rsidR="008215AB" w:rsidRDefault="006513FA">
            <w:pPr>
              <w:pStyle w:val="TableParagraph"/>
              <w:spacing w:before="12" w:line="110" w:lineRule="auto"/>
              <w:ind w:left="0" w:right="367"/>
              <w:jc w:val="right"/>
              <w:rPr>
                <w:sz w:val="14"/>
              </w:rPr>
            </w:pPr>
            <w:r>
              <w:rPr>
                <w:position w:val="-9"/>
                <w:sz w:val="21"/>
              </w:rPr>
              <w:t>8</w:t>
            </w:r>
            <w:r>
              <w:rPr>
                <w:sz w:val="14"/>
              </w:rPr>
              <w:t>th</w:t>
            </w:r>
          </w:p>
        </w:tc>
        <w:tc>
          <w:tcPr>
            <w:tcW w:w="1352" w:type="dxa"/>
          </w:tcPr>
          <w:p w:rsidR="008215AB" w:rsidRDefault="006513FA">
            <w:pPr>
              <w:pStyle w:val="TableParagraph"/>
              <w:spacing w:line="236" w:lineRule="exact"/>
              <w:ind w:left="498"/>
              <w:rPr>
                <w:sz w:val="21"/>
              </w:rPr>
            </w:pPr>
            <w:r>
              <w:rPr>
                <w:sz w:val="21"/>
              </w:rPr>
              <w:t>100</w:t>
            </w:r>
          </w:p>
        </w:tc>
        <w:tc>
          <w:tcPr>
            <w:tcW w:w="989" w:type="dxa"/>
          </w:tcPr>
          <w:p w:rsidR="008215AB" w:rsidRDefault="006513FA">
            <w:pPr>
              <w:pStyle w:val="TableParagraph"/>
              <w:spacing w:before="12" w:line="110" w:lineRule="auto"/>
              <w:ind w:left="335" w:right="330"/>
              <w:jc w:val="center"/>
              <w:rPr>
                <w:sz w:val="14"/>
              </w:rPr>
            </w:pPr>
            <w:r>
              <w:rPr>
                <w:position w:val="-9"/>
                <w:sz w:val="21"/>
              </w:rPr>
              <w:t>8</w:t>
            </w:r>
            <w:r>
              <w:rPr>
                <w:sz w:val="14"/>
              </w:rPr>
              <w:t>th</w:t>
            </w:r>
          </w:p>
        </w:tc>
        <w:tc>
          <w:tcPr>
            <w:tcW w:w="1892" w:type="dxa"/>
          </w:tcPr>
          <w:p w:rsidR="008215AB" w:rsidRDefault="006513FA">
            <w:pPr>
              <w:pStyle w:val="TableParagraph"/>
              <w:spacing w:line="236" w:lineRule="exact"/>
              <w:ind w:left="0" w:right="760"/>
              <w:jc w:val="right"/>
              <w:rPr>
                <w:sz w:val="21"/>
              </w:rPr>
            </w:pPr>
            <w:r>
              <w:rPr>
                <w:sz w:val="21"/>
              </w:rPr>
              <w:t>100</w:t>
            </w:r>
          </w:p>
        </w:tc>
      </w:tr>
      <w:tr w:rsidR="008215AB">
        <w:trPr>
          <w:trHeight w:val="832"/>
        </w:trPr>
        <w:tc>
          <w:tcPr>
            <w:tcW w:w="7563" w:type="dxa"/>
            <w:gridSpan w:val="6"/>
          </w:tcPr>
          <w:p w:rsidR="008215AB" w:rsidRDefault="006513FA">
            <w:pPr>
              <w:pStyle w:val="TableParagraph"/>
              <w:spacing w:line="236" w:lineRule="exact"/>
              <w:rPr>
                <w:sz w:val="21"/>
              </w:rPr>
            </w:pPr>
            <w:r>
              <w:rPr>
                <w:sz w:val="21"/>
              </w:rPr>
              <w:t>Note:- In case derived numbers are in fraction, the same shall be rounded off</w:t>
            </w:r>
          </w:p>
          <w:p w:rsidR="008215AB" w:rsidRDefault="006513FA">
            <w:pPr>
              <w:pStyle w:val="TableParagraph"/>
              <w:spacing w:before="8" w:line="270" w:lineRule="atLeast"/>
              <w:ind w:right="102"/>
              <w:rPr>
                <w:sz w:val="21"/>
              </w:rPr>
            </w:pPr>
            <w:r>
              <w:rPr>
                <w:sz w:val="21"/>
              </w:rPr>
              <w:t>to the nearest whole number and fraction 0.5 shall be rounded off to next higher whole</w:t>
            </w:r>
            <w:r>
              <w:rPr>
                <w:spacing w:val="-3"/>
                <w:sz w:val="21"/>
              </w:rPr>
              <w:t xml:space="preserve"> </w:t>
            </w:r>
            <w:r>
              <w:rPr>
                <w:sz w:val="21"/>
              </w:rPr>
              <w:t>number.</w:t>
            </w:r>
          </w:p>
        </w:tc>
      </w:tr>
    </w:tbl>
    <w:p w:rsidR="008215AB" w:rsidRDefault="008215AB">
      <w:pPr>
        <w:pStyle w:val="BodyText"/>
        <w:spacing w:before="8"/>
        <w:rPr>
          <w:sz w:val="23"/>
        </w:rPr>
      </w:pPr>
    </w:p>
    <w:p w:rsidR="008215AB" w:rsidRDefault="006513FA">
      <w:pPr>
        <w:spacing w:before="1" w:line="276" w:lineRule="auto"/>
        <w:ind w:left="1400" w:right="1015"/>
        <w:jc w:val="both"/>
        <w:rPr>
          <w:sz w:val="21"/>
        </w:rPr>
      </w:pPr>
      <w:r>
        <w:rPr>
          <w:sz w:val="21"/>
        </w:rPr>
        <w:t>Provided that in the case of the geographical areas of (i) Bilaspur, Hamirpur and Una Districts; (ii) Panchkula (Except area already authorised), Shimla, Solan and Sirmaur Districts and (iii) Barmer, Jaisalmer and Jodhpur Districts, successful bidder shall</w:t>
      </w:r>
      <w:r>
        <w:rPr>
          <w:sz w:val="21"/>
        </w:rPr>
        <w:t xml:space="preserve"> be required to achieve the year-wise work programme within 10 contract years as per details given below, namely:-</w:t>
      </w:r>
    </w:p>
    <w:p w:rsidR="008215AB" w:rsidRDefault="008215AB">
      <w:pPr>
        <w:pStyle w:val="BodyText"/>
        <w:spacing w:before="6"/>
        <w:rPr>
          <w:sz w:val="24"/>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7"/>
        <w:gridCol w:w="1779"/>
        <w:gridCol w:w="1779"/>
        <w:gridCol w:w="2228"/>
      </w:tblGrid>
      <w:tr w:rsidR="008215AB">
        <w:trPr>
          <w:trHeight w:val="556"/>
        </w:trPr>
        <w:tc>
          <w:tcPr>
            <w:tcW w:w="3556" w:type="dxa"/>
            <w:gridSpan w:val="2"/>
          </w:tcPr>
          <w:p w:rsidR="008215AB" w:rsidRDefault="006513FA">
            <w:pPr>
              <w:pStyle w:val="TableParagraph"/>
              <w:spacing w:line="236" w:lineRule="exact"/>
              <w:rPr>
                <w:b/>
                <w:sz w:val="21"/>
              </w:rPr>
            </w:pPr>
            <w:r>
              <w:rPr>
                <w:b/>
                <w:sz w:val="21"/>
              </w:rPr>
              <w:t>PNG Connections (cumulative)</w:t>
            </w:r>
          </w:p>
        </w:tc>
        <w:tc>
          <w:tcPr>
            <w:tcW w:w="4007" w:type="dxa"/>
            <w:gridSpan w:val="2"/>
          </w:tcPr>
          <w:p w:rsidR="008215AB" w:rsidRDefault="006513FA">
            <w:pPr>
              <w:pStyle w:val="TableParagraph"/>
              <w:spacing w:line="236" w:lineRule="exact"/>
              <w:ind w:left="687"/>
              <w:rPr>
                <w:b/>
                <w:sz w:val="21"/>
              </w:rPr>
            </w:pPr>
            <w:r>
              <w:rPr>
                <w:b/>
                <w:sz w:val="21"/>
              </w:rPr>
              <w:t>CNG stations (cumulative)</w:t>
            </w:r>
          </w:p>
        </w:tc>
      </w:tr>
      <w:tr w:rsidR="008215AB">
        <w:trPr>
          <w:trHeight w:val="554"/>
        </w:trPr>
        <w:tc>
          <w:tcPr>
            <w:tcW w:w="1777" w:type="dxa"/>
          </w:tcPr>
          <w:p w:rsidR="008215AB" w:rsidRDefault="006513FA">
            <w:pPr>
              <w:pStyle w:val="TableParagraph"/>
              <w:spacing w:line="236" w:lineRule="exact"/>
              <w:rPr>
                <w:sz w:val="21"/>
              </w:rPr>
            </w:pPr>
            <w:r>
              <w:rPr>
                <w:sz w:val="21"/>
              </w:rPr>
              <w:t>By the end</w:t>
            </w:r>
            <w:r>
              <w:rPr>
                <w:spacing w:val="-2"/>
                <w:sz w:val="21"/>
              </w:rPr>
              <w:t xml:space="preserve"> </w:t>
            </w:r>
            <w:r>
              <w:rPr>
                <w:sz w:val="21"/>
              </w:rPr>
              <w:t>of</w:t>
            </w:r>
          </w:p>
          <w:p w:rsidR="008215AB" w:rsidRDefault="006513FA">
            <w:pPr>
              <w:pStyle w:val="TableParagraph"/>
              <w:spacing w:before="37"/>
              <w:rPr>
                <w:sz w:val="21"/>
              </w:rPr>
            </w:pPr>
            <w:r>
              <w:rPr>
                <w:sz w:val="21"/>
              </w:rPr>
              <w:t>contract</w:t>
            </w:r>
            <w:r>
              <w:rPr>
                <w:spacing w:val="-1"/>
                <w:sz w:val="21"/>
              </w:rPr>
              <w:t xml:space="preserve"> </w:t>
            </w:r>
            <w:r>
              <w:rPr>
                <w:sz w:val="21"/>
              </w:rPr>
              <w:t>year</w:t>
            </w:r>
          </w:p>
        </w:tc>
        <w:tc>
          <w:tcPr>
            <w:tcW w:w="1779" w:type="dxa"/>
          </w:tcPr>
          <w:p w:rsidR="008215AB" w:rsidRDefault="006513FA">
            <w:pPr>
              <w:pStyle w:val="TableParagraph"/>
              <w:spacing w:line="236" w:lineRule="exact"/>
              <w:rPr>
                <w:sz w:val="21"/>
              </w:rPr>
            </w:pPr>
            <w:r>
              <w:rPr>
                <w:sz w:val="21"/>
              </w:rPr>
              <w:t>% of work</w:t>
            </w:r>
          </w:p>
          <w:p w:rsidR="008215AB" w:rsidRDefault="006513FA">
            <w:pPr>
              <w:pStyle w:val="TableParagraph"/>
              <w:spacing w:before="37"/>
              <w:rPr>
                <w:sz w:val="21"/>
              </w:rPr>
            </w:pPr>
            <w:r>
              <w:rPr>
                <w:sz w:val="21"/>
              </w:rPr>
              <w:t>programme</w:t>
            </w:r>
          </w:p>
        </w:tc>
        <w:tc>
          <w:tcPr>
            <w:tcW w:w="1779" w:type="dxa"/>
          </w:tcPr>
          <w:p w:rsidR="008215AB" w:rsidRDefault="006513FA">
            <w:pPr>
              <w:pStyle w:val="TableParagraph"/>
              <w:spacing w:line="236" w:lineRule="exact"/>
              <w:ind w:left="106"/>
              <w:rPr>
                <w:sz w:val="21"/>
              </w:rPr>
            </w:pPr>
            <w:r>
              <w:rPr>
                <w:sz w:val="21"/>
              </w:rPr>
              <w:t>By the end</w:t>
            </w:r>
            <w:r>
              <w:rPr>
                <w:spacing w:val="-2"/>
                <w:sz w:val="21"/>
              </w:rPr>
              <w:t xml:space="preserve"> </w:t>
            </w:r>
            <w:r>
              <w:rPr>
                <w:sz w:val="21"/>
              </w:rPr>
              <w:t>of</w:t>
            </w:r>
          </w:p>
          <w:p w:rsidR="008215AB" w:rsidRDefault="006513FA">
            <w:pPr>
              <w:pStyle w:val="TableParagraph"/>
              <w:spacing w:before="37"/>
              <w:ind w:left="106"/>
              <w:rPr>
                <w:sz w:val="21"/>
              </w:rPr>
            </w:pPr>
            <w:r>
              <w:rPr>
                <w:sz w:val="21"/>
              </w:rPr>
              <w:t>contract</w:t>
            </w:r>
            <w:r>
              <w:rPr>
                <w:spacing w:val="-1"/>
                <w:sz w:val="21"/>
              </w:rPr>
              <w:t xml:space="preserve"> </w:t>
            </w:r>
            <w:r>
              <w:rPr>
                <w:sz w:val="21"/>
              </w:rPr>
              <w:t>year</w:t>
            </w:r>
          </w:p>
        </w:tc>
        <w:tc>
          <w:tcPr>
            <w:tcW w:w="2228" w:type="dxa"/>
          </w:tcPr>
          <w:p w:rsidR="008215AB" w:rsidRDefault="006513FA">
            <w:pPr>
              <w:pStyle w:val="TableParagraph"/>
              <w:spacing w:line="236" w:lineRule="exact"/>
              <w:ind w:left="106"/>
              <w:rPr>
                <w:sz w:val="21"/>
              </w:rPr>
            </w:pPr>
            <w:r>
              <w:rPr>
                <w:sz w:val="21"/>
              </w:rPr>
              <w:t>% of work</w:t>
            </w:r>
          </w:p>
          <w:p w:rsidR="008215AB" w:rsidRDefault="006513FA">
            <w:pPr>
              <w:pStyle w:val="TableParagraph"/>
              <w:spacing w:before="37"/>
              <w:ind w:left="106"/>
              <w:rPr>
                <w:sz w:val="21"/>
              </w:rPr>
            </w:pPr>
            <w:r>
              <w:rPr>
                <w:sz w:val="21"/>
              </w:rPr>
              <w:t>programme</w:t>
            </w:r>
          </w:p>
        </w:tc>
      </w:tr>
      <w:tr w:rsidR="008215AB">
        <w:trPr>
          <w:trHeight w:val="278"/>
        </w:trPr>
        <w:tc>
          <w:tcPr>
            <w:tcW w:w="1777" w:type="dxa"/>
          </w:tcPr>
          <w:p w:rsidR="008215AB" w:rsidRDefault="006513FA">
            <w:pPr>
              <w:pStyle w:val="TableParagraph"/>
              <w:spacing w:line="236" w:lineRule="exact"/>
              <w:ind w:left="691" w:right="684"/>
              <w:jc w:val="center"/>
              <w:rPr>
                <w:sz w:val="21"/>
              </w:rPr>
            </w:pPr>
            <w:r>
              <w:rPr>
                <w:sz w:val="21"/>
              </w:rPr>
              <w:t>1st</w:t>
            </w:r>
          </w:p>
        </w:tc>
        <w:tc>
          <w:tcPr>
            <w:tcW w:w="1779" w:type="dxa"/>
          </w:tcPr>
          <w:p w:rsidR="008215AB" w:rsidRDefault="006513FA">
            <w:pPr>
              <w:pStyle w:val="TableParagraph"/>
              <w:spacing w:line="236" w:lineRule="exact"/>
              <w:ind w:left="691" w:right="685"/>
              <w:jc w:val="center"/>
              <w:rPr>
                <w:sz w:val="21"/>
              </w:rPr>
            </w:pPr>
            <w:r>
              <w:rPr>
                <w:sz w:val="21"/>
              </w:rPr>
              <w:t>Nil</w:t>
            </w:r>
          </w:p>
        </w:tc>
        <w:tc>
          <w:tcPr>
            <w:tcW w:w="1779" w:type="dxa"/>
          </w:tcPr>
          <w:p w:rsidR="008215AB" w:rsidRDefault="006513FA">
            <w:pPr>
              <w:pStyle w:val="TableParagraph"/>
              <w:spacing w:before="12" w:line="110" w:lineRule="auto"/>
              <w:ind w:left="774"/>
              <w:rPr>
                <w:sz w:val="14"/>
              </w:rPr>
            </w:pPr>
            <w:r>
              <w:rPr>
                <w:position w:val="-9"/>
                <w:sz w:val="21"/>
              </w:rPr>
              <w:t>1</w:t>
            </w:r>
            <w:r>
              <w:rPr>
                <w:sz w:val="14"/>
              </w:rPr>
              <w:t>st</w:t>
            </w:r>
          </w:p>
        </w:tc>
        <w:tc>
          <w:tcPr>
            <w:tcW w:w="2228" w:type="dxa"/>
          </w:tcPr>
          <w:p w:rsidR="008215AB" w:rsidRDefault="006513FA">
            <w:pPr>
              <w:pStyle w:val="TableParagraph"/>
              <w:spacing w:line="236" w:lineRule="exact"/>
              <w:ind w:left="916" w:right="909"/>
              <w:jc w:val="center"/>
              <w:rPr>
                <w:sz w:val="21"/>
              </w:rPr>
            </w:pPr>
            <w:r>
              <w:rPr>
                <w:sz w:val="21"/>
              </w:rPr>
              <w:t>Nil</w:t>
            </w:r>
          </w:p>
        </w:tc>
      </w:tr>
      <w:tr w:rsidR="008215AB">
        <w:trPr>
          <w:trHeight w:val="277"/>
        </w:trPr>
        <w:tc>
          <w:tcPr>
            <w:tcW w:w="1777" w:type="dxa"/>
          </w:tcPr>
          <w:p w:rsidR="008215AB" w:rsidRDefault="006513FA">
            <w:pPr>
              <w:pStyle w:val="TableParagraph"/>
              <w:spacing w:before="12" w:line="110" w:lineRule="auto"/>
              <w:ind w:left="690" w:right="684"/>
              <w:jc w:val="center"/>
              <w:rPr>
                <w:sz w:val="14"/>
              </w:rPr>
            </w:pPr>
            <w:r>
              <w:rPr>
                <w:position w:val="-9"/>
                <w:sz w:val="21"/>
              </w:rPr>
              <w:t>2</w:t>
            </w:r>
            <w:r>
              <w:rPr>
                <w:sz w:val="14"/>
              </w:rPr>
              <w:t>nd</w:t>
            </w:r>
          </w:p>
        </w:tc>
        <w:tc>
          <w:tcPr>
            <w:tcW w:w="1779" w:type="dxa"/>
          </w:tcPr>
          <w:p w:rsidR="008215AB" w:rsidRDefault="006513FA">
            <w:pPr>
              <w:pStyle w:val="TableParagraph"/>
              <w:spacing w:line="236" w:lineRule="exact"/>
              <w:ind w:left="693" w:right="683"/>
              <w:jc w:val="center"/>
              <w:rPr>
                <w:sz w:val="21"/>
              </w:rPr>
            </w:pPr>
            <w:r>
              <w:rPr>
                <w:sz w:val="21"/>
              </w:rPr>
              <w:t>10</w:t>
            </w:r>
          </w:p>
        </w:tc>
        <w:tc>
          <w:tcPr>
            <w:tcW w:w="1779" w:type="dxa"/>
          </w:tcPr>
          <w:p w:rsidR="008215AB" w:rsidRDefault="006513FA">
            <w:pPr>
              <w:pStyle w:val="TableParagraph"/>
              <w:spacing w:before="12" w:line="110" w:lineRule="auto"/>
              <w:ind w:left="750"/>
              <w:rPr>
                <w:sz w:val="14"/>
              </w:rPr>
            </w:pPr>
            <w:r>
              <w:rPr>
                <w:position w:val="-9"/>
                <w:sz w:val="21"/>
              </w:rPr>
              <w:t>2</w:t>
            </w:r>
            <w:r>
              <w:rPr>
                <w:sz w:val="14"/>
              </w:rPr>
              <w:t>nd</w:t>
            </w:r>
          </w:p>
        </w:tc>
        <w:tc>
          <w:tcPr>
            <w:tcW w:w="2228" w:type="dxa"/>
          </w:tcPr>
          <w:p w:rsidR="008215AB" w:rsidRDefault="006513FA">
            <w:pPr>
              <w:pStyle w:val="TableParagraph"/>
              <w:spacing w:line="236" w:lineRule="exact"/>
              <w:ind w:left="915" w:right="909"/>
              <w:jc w:val="center"/>
              <w:rPr>
                <w:sz w:val="21"/>
              </w:rPr>
            </w:pPr>
            <w:r>
              <w:rPr>
                <w:sz w:val="21"/>
              </w:rPr>
              <w:t>10</w:t>
            </w:r>
          </w:p>
        </w:tc>
      </w:tr>
      <w:tr w:rsidR="008215AB">
        <w:trPr>
          <w:trHeight w:val="277"/>
        </w:trPr>
        <w:tc>
          <w:tcPr>
            <w:tcW w:w="1777" w:type="dxa"/>
          </w:tcPr>
          <w:p w:rsidR="008215AB" w:rsidRDefault="006513FA">
            <w:pPr>
              <w:pStyle w:val="TableParagraph"/>
              <w:spacing w:before="12" w:line="110" w:lineRule="auto"/>
              <w:ind w:left="687" w:right="684"/>
              <w:jc w:val="center"/>
              <w:rPr>
                <w:sz w:val="14"/>
              </w:rPr>
            </w:pPr>
            <w:r>
              <w:rPr>
                <w:position w:val="-9"/>
                <w:sz w:val="21"/>
              </w:rPr>
              <w:t>3</w:t>
            </w:r>
            <w:r>
              <w:rPr>
                <w:sz w:val="14"/>
              </w:rPr>
              <w:t>rd</w:t>
            </w:r>
          </w:p>
        </w:tc>
        <w:tc>
          <w:tcPr>
            <w:tcW w:w="1779" w:type="dxa"/>
          </w:tcPr>
          <w:p w:rsidR="008215AB" w:rsidRDefault="006513FA">
            <w:pPr>
              <w:pStyle w:val="TableParagraph"/>
              <w:spacing w:line="236" w:lineRule="exact"/>
              <w:ind w:left="693" w:right="683"/>
              <w:jc w:val="center"/>
              <w:rPr>
                <w:sz w:val="21"/>
              </w:rPr>
            </w:pPr>
            <w:r>
              <w:rPr>
                <w:sz w:val="21"/>
              </w:rPr>
              <w:t>20</w:t>
            </w:r>
          </w:p>
        </w:tc>
        <w:tc>
          <w:tcPr>
            <w:tcW w:w="1779" w:type="dxa"/>
          </w:tcPr>
          <w:p w:rsidR="008215AB" w:rsidRDefault="006513FA">
            <w:pPr>
              <w:pStyle w:val="TableParagraph"/>
              <w:spacing w:before="12" w:line="110" w:lineRule="auto"/>
              <w:ind w:left="764"/>
              <w:rPr>
                <w:sz w:val="14"/>
              </w:rPr>
            </w:pPr>
            <w:r>
              <w:rPr>
                <w:position w:val="-9"/>
                <w:sz w:val="21"/>
              </w:rPr>
              <w:t>3</w:t>
            </w:r>
            <w:r>
              <w:rPr>
                <w:sz w:val="14"/>
              </w:rPr>
              <w:t>rd</w:t>
            </w:r>
          </w:p>
        </w:tc>
        <w:tc>
          <w:tcPr>
            <w:tcW w:w="2228" w:type="dxa"/>
          </w:tcPr>
          <w:p w:rsidR="008215AB" w:rsidRDefault="006513FA">
            <w:pPr>
              <w:pStyle w:val="TableParagraph"/>
              <w:spacing w:line="236" w:lineRule="exact"/>
              <w:ind w:left="915" w:right="909"/>
              <w:jc w:val="center"/>
              <w:rPr>
                <w:sz w:val="21"/>
              </w:rPr>
            </w:pPr>
            <w:r>
              <w:rPr>
                <w:sz w:val="21"/>
              </w:rPr>
              <w:t>20</w:t>
            </w:r>
          </w:p>
        </w:tc>
      </w:tr>
      <w:tr w:rsidR="008215AB">
        <w:trPr>
          <w:trHeight w:val="277"/>
        </w:trPr>
        <w:tc>
          <w:tcPr>
            <w:tcW w:w="1777" w:type="dxa"/>
          </w:tcPr>
          <w:p w:rsidR="008215AB" w:rsidRDefault="006513FA">
            <w:pPr>
              <w:pStyle w:val="TableParagraph"/>
              <w:spacing w:before="12" w:line="110" w:lineRule="auto"/>
              <w:ind w:left="690" w:right="684"/>
              <w:jc w:val="center"/>
              <w:rPr>
                <w:sz w:val="14"/>
              </w:rPr>
            </w:pPr>
            <w:r>
              <w:rPr>
                <w:position w:val="-9"/>
                <w:sz w:val="21"/>
              </w:rPr>
              <w:t>4</w:t>
            </w:r>
            <w:r>
              <w:rPr>
                <w:sz w:val="14"/>
              </w:rPr>
              <w:t>th</w:t>
            </w:r>
          </w:p>
        </w:tc>
        <w:tc>
          <w:tcPr>
            <w:tcW w:w="1779" w:type="dxa"/>
          </w:tcPr>
          <w:p w:rsidR="008215AB" w:rsidRDefault="006513FA">
            <w:pPr>
              <w:pStyle w:val="TableParagraph"/>
              <w:spacing w:line="236" w:lineRule="exact"/>
              <w:ind w:left="693" w:right="683"/>
              <w:jc w:val="center"/>
              <w:rPr>
                <w:sz w:val="21"/>
              </w:rPr>
            </w:pPr>
            <w:r>
              <w:rPr>
                <w:sz w:val="21"/>
              </w:rPr>
              <w:t>30</w:t>
            </w:r>
          </w:p>
        </w:tc>
        <w:tc>
          <w:tcPr>
            <w:tcW w:w="1779" w:type="dxa"/>
          </w:tcPr>
          <w:p w:rsidR="008215AB" w:rsidRDefault="006513FA">
            <w:pPr>
              <w:pStyle w:val="TableParagraph"/>
              <w:spacing w:before="12" w:line="110" w:lineRule="auto"/>
              <w:ind w:left="769"/>
              <w:rPr>
                <w:sz w:val="14"/>
              </w:rPr>
            </w:pPr>
            <w:r>
              <w:rPr>
                <w:position w:val="-9"/>
                <w:sz w:val="21"/>
              </w:rPr>
              <w:t>4</w:t>
            </w:r>
            <w:r>
              <w:rPr>
                <w:sz w:val="14"/>
              </w:rPr>
              <w:t>th</w:t>
            </w:r>
          </w:p>
        </w:tc>
        <w:tc>
          <w:tcPr>
            <w:tcW w:w="2228" w:type="dxa"/>
          </w:tcPr>
          <w:p w:rsidR="008215AB" w:rsidRDefault="006513FA">
            <w:pPr>
              <w:pStyle w:val="TableParagraph"/>
              <w:spacing w:line="236" w:lineRule="exact"/>
              <w:ind w:left="915" w:right="909"/>
              <w:jc w:val="center"/>
              <w:rPr>
                <w:sz w:val="21"/>
              </w:rPr>
            </w:pPr>
            <w:r>
              <w:rPr>
                <w:sz w:val="21"/>
              </w:rPr>
              <w:t>30</w:t>
            </w:r>
          </w:p>
        </w:tc>
      </w:tr>
      <w:tr w:rsidR="008215AB">
        <w:trPr>
          <w:trHeight w:val="278"/>
        </w:trPr>
        <w:tc>
          <w:tcPr>
            <w:tcW w:w="1777" w:type="dxa"/>
          </w:tcPr>
          <w:p w:rsidR="008215AB" w:rsidRDefault="006513FA">
            <w:pPr>
              <w:pStyle w:val="TableParagraph"/>
              <w:spacing w:before="11" w:line="110" w:lineRule="auto"/>
              <w:ind w:left="690" w:right="684"/>
              <w:jc w:val="center"/>
              <w:rPr>
                <w:sz w:val="14"/>
              </w:rPr>
            </w:pPr>
            <w:r>
              <w:rPr>
                <w:position w:val="-9"/>
                <w:sz w:val="21"/>
              </w:rPr>
              <w:t>5</w:t>
            </w:r>
            <w:r>
              <w:rPr>
                <w:sz w:val="14"/>
              </w:rPr>
              <w:t>th</w:t>
            </w:r>
          </w:p>
        </w:tc>
        <w:tc>
          <w:tcPr>
            <w:tcW w:w="1779" w:type="dxa"/>
          </w:tcPr>
          <w:p w:rsidR="008215AB" w:rsidRDefault="006513FA">
            <w:pPr>
              <w:pStyle w:val="TableParagraph"/>
              <w:spacing w:line="237" w:lineRule="exact"/>
              <w:ind w:left="693" w:right="683"/>
              <w:jc w:val="center"/>
              <w:rPr>
                <w:sz w:val="21"/>
              </w:rPr>
            </w:pPr>
            <w:r>
              <w:rPr>
                <w:sz w:val="21"/>
              </w:rPr>
              <w:t>40</w:t>
            </w:r>
          </w:p>
        </w:tc>
        <w:tc>
          <w:tcPr>
            <w:tcW w:w="1779" w:type="dxa"/>
          </w:tcPr>
          <w:p w:rsidR="008215AB" w:rsidRDefault="006513FA">
            <w:pPr>
              <w:pStyle w:val="TableParagraph"/>
              <w:spacing w:before="11" w:line="110" w:lineRule="auto"/>
              <w:ind w:left="769"/>
              <w:rPr>
                <w:sz w:val="14"/>
              </w:rPr>
            </w:pPr>
            <w:r>
              <w:rPr>
                <w:position w:val="-9"/>
                <w:sz w:val="21"/>
              </w:rPr>
              <w:t>5</w:t>
            </w:r>
            <w:r>
              <w:rPr>
                <w:sz w:val="14"/>
              </w:rPr>
              <w:t>th</w:t>
            </w:r>
          </w:p>
        </w:tc>
        <w:tc>
          <w:tcPr>
            <w:tcW w:w="2228" w:type="dxa"/>
          </w:tcPr>
          <w:p w:rsidR="008215AB" w:rsidRDefault="006513FA">
            <w:pPr>
              <w:pStyle w:val="TableParagraph"/>
              <w:spacing w:line="237" w:lineRule="exact"/>
              <w:ind w:left="915" w:right="909"/>
              <w:jc w:val="center"/>
              <w:rPr>
                <w:sz w:val="21"/>
              </w:rPr>
            </w:pPr>
            <w:r>
              <w:rPr>
                <w:sz w:val="21"/>
              </w:rPr>
              <w:t>40</w:t>
            </w:r>
          </w:p>
        </w:tc>
      </w:tr>
      <w:tr w:rsidR="008215AB">
        <w:trPr>
          <w:trHeight w:val="277"/>
        </w:trPr>
        <w:tc>
          <w:tcPr>
            <w:tcW w:w="1777" w:type="dxa"/>
          </w:tcPr>
          <w:p w:rsidR="008215AB" w:rsidRDefault="006513FA">
            <w:pPr>
              <w:pStyle w:val="TableParagraph"/>
              <w:spacing w:before="12" w:line="110" w:lineRule="auto"/>
              <w:ind w:left="690" w:right="684"/>
              <w:jc w:val="center"/>
              <w:rPr>
                <w:sz w:val="14"/>
              </w:rPr>
            </w:pPr>
            <w:r>
              <w:rPr>
                <w:position w:val="-9"/>
                <w:sz w:val="21"/>
              </w:rPr>
              <w:t>6</w:t>
            </w:r>
            <w:r>
              <w:rPr>
                <w:sz w:val="14"/>
              </w:rPr>
              <w:t>th</w:t>
            </w:r>
          </w:p>
        </w:tc>
        <w:tc>
          <w:tcPr>
            <w:tcW w:w="1779" w:type="dxa"/>
          </w:tcPr>
          <w:p w:rsidR="008215AB" w:rsidRDefault="006513FA">
            <w:pPr>
              <w:pStyle w:val="TableParagraph"/>
              <w:spacing w:line="236" w:lineRule="exact"/>
              <w:ind w:left="693" w:right="683"/>
              <w:jc w:val="center"/>
              <w:rPr>
                <w:sz w:val="21"/>
              </w:rPr>
            </w:pPr>
            <w:r>
              <w:rPr>
                <w:sz w:val="21"/>
              </w:rPr>
              <w:t>50</w:t>
            </w:r>
          </w:p>
        </w:tc>
        <w:tc>
          <w:tcPr>
            <w:tcW w:w="1779" w:type="dxa"/>
          </w:tcPr>
          <w:p w:rsidR="008215AB" w:rsidRDefault="006513FA">
            <w:pPr>
              <w:pStyle w:val="TableParagraph"/>
              <w:spacing w:before="12" w:line="110" w:lineRule="auto"/>
              <w:ind w:left="769"/>
              <w:rPr>
                <w:sz w:val="14"/>
              </w:rPr>
            </w:pPr>
            <w:r>
              <w:rPr>
                <w:position w:val="-9"/>
                <w:sz w:val="21"/>
              </w:rPr>
              <w:t>6</w:t>
            </w:r>
            <w:r>
              <w:rPr>
                <w:sz w:val="14"/>
              </w:rPr>
              <w:t>th</w:t>
            </w:r>
          </w:p>
        </w:tc>
        <w:tc>
          <w:tcPr>
            <w:tcW w:w="2228" w:type="dxa"/>
          </w:tcPr>
          <w:p w:rsidR="008215AB" w:rsidRDefault="006513FA">
            <w:pPr>
              <w:pStyle w:val="TableParagraph"/>
              <w:spacing w:line="236" w:lineRule="exact"/>
              <w:ind w:left="915" w:right="909"/>
              <w:jc w:val="center"/>
              <w:rPr>
                <w:sz w:val="21"/>
              </w:rPr>
            </w:pPr>
            <w:r>
              <w:rPr>
                <w:sz w:val="21"/>
              </w:rPr>
              <w:t>50</w:t>
            </w:r>
          </w:p>
        </w:tc>
      </w:tr>
      <w:tr w:rsidR="008215AB">
        <w:trPr>
          <w:trHeight w:val="275"/>
        </w:trPr>
        <w:tc>
          <w:tcPr>
            <w:tcW w:w="1777" w:type="dxa"/>
          </w:tcPr>
          <w:p w:rsidR="008215AB" w:rsidRDefault="006513FA">
            <w:pPr>
              <w:pStyle w:val="TableParagraph"/>
              <w:spacing w:before="12" w:line="110" w:lineRule="auto"/>
              <w:ind w:left="690" w:right="684"/>
              <w:jc w:val="center"/>
              <w:rPr>
                <w:sz w:val="14"/>
              </w:rPr>
            </w:pPr>
            <w:r>
              <w:rPr>
                <w:position w:val="-9"/>
                <w:sz w:val="21"/>
              </w:rPr>
              <w:t>7</w:t>
            </w:r>
            <w:r>
              <w:rPr>
                <w:sz w:val="14"/>
              </w:rPr>
              <w:t>th</w:t>
            </w:r>
          </w:p>
        </w:tc>
        <w:tc>
          <w:tcPr>
            <w:tcW w:w="1779" w:type="dxa"/>
          </w:tcPr>
          <w:p w:rsidR="008215AB" w:rsidRDefault="006513FA">
            <w:pPr>
              <w:pStyle w:val="TableParagraph"/>
              <w:spacing w:line="236" w:lineRule="exact"/>
              <w:ind w:left="693" w:right="683"/>
              <w:jc w:val="center"/>
              <w:rPr>
                <w:sz w:val="21"/>
              </w:rPr>
            </w:pPr>
            <w:r>
              <w:rPr>
                <w:sz w:val="21"/>
              </w:rPr>
              <w:t>60</w:t>
            </w:r>
          </w:p>
        </w:tc>
        <w:tc>
          <w:tcPr>
            <w:tcW w:w="1779" w:type="dxa"/>
          </w:tcPr>
          <w:p w:rsidR="008215AB" w:rsidRDefault="006513FA">
            <w:pPr>
              <w:pStyle w:val="TableParagraph"/>
              <w:spacing w:before="12" w:line="110" w:lineRule="auto"/>
              <w:ind w:left="769"/>
              <w:rPr>
                <w:sz w:val="14"/>
              </w:rPr>
            </w:pPr>
            <w:r>
              <w:rPr>
                <w:position w:val="-9"/>
                <w:sz w:val="21"/>
              </w:rPr>
              <w:t>7</w:t>
            </w:r>
            <w:r>
              <w:rPr>
                <w:sz w:val="14"/>
              </w:rPr>
              <w:t>th</w:t>
            </w:r>
          </w:p>
        </w:tc>
        <w:tc>
          <w:tcPr>
            <w:tcW w:w="2228" w:type="dxa"/>
          </w:tcPr>
          <w:p w:rsidR="008215AB" w:rsidRDefault="006513FA">
            <w:pPr>
              <w:pStyle w:val="TableParagraph"/>
              <w:spacing w:line="236" w:lineRule="exact"/>
              <w:ind w:left="915" w:right="909"/>
              <w:jc w:val="center"/>
              <w:rPr>
                <w:sz w:val="21"/>
              </w:rPr>
            </w:pPr>
            <w:r>
              <w:rPr>
                <w:sz w:val="21"/>
              </w:rPr>
              <w:t>60</w:t>
            </w:r>
          </w:p>
        </w:tc>
      </w:tr>
      <w:tr w:rsidR="008215AB">
        <w:trPr>
          <w:trHeight w:val="277"/>
        </w:trPr>
        <w:tc>
          <w:tcPr>
            <w:tcW w:w="1777" w:type="dxa"/>
          </w:tcPr>
          <w:p w:rsidR="008215AB" w:rsidRDefault="006513FA">
            <w:pPr>
              <w:pStyle w:val="TableParagraph"/>
              <w:spacing w:before="13" w:line="112" w:lineRule="auto"/>
              <w:ind w:left="690" w:right="684"/>
              <w:jc w:val="center"/>
              <w:rPr>
                <w:sz w:val="14"/>
              </w:rPr>
            </w:pPr>
            <w:r>
              <w:rPr>
                <w:position w:val="-9"/>
                <w:sz w:val="21"/>
              </w:rPr>
              <w:t>8</w:t>
            </w:r>
            <w:r>
              <w:rPr>
                <w:sz w:val="14"/>
              </w:rPr>
              <w:t>th</w:t>
            </w:r>
          </w:p>
        </w:tc>
        <w:tc>
          <w:tcPr>
            <w:tcW w:w="1779" w:type="dxa"/>
          </w:tcPr>
          <w:p w:rsidR="008215AB" w:rsidRDefault="006513FA">
            <w:pPr>
              <w:pStyle w:val="TableParagraph"/>
              <w:spacing w:line="239" w:lineRule="exact"/>
              <w:ind w:left="693" w:right="683"/>
              <w:jc w:val="center"/>
              <w:rPr>
                <w:sz w:val="21"/>
              </w:rPr>
            </w:pPr>
            <w:r>
              <w:rPr>
                <w:sz w:val="21"/>
              </w:rPr>
              <w:t>70</w:t>
            </w:r>
          </w:p>
        </w:tc>
        <w:tc>
          <w:tcPr>
            <w:tcW w:w="1779" w:type="dxa"/>
          </w:tcPr>
          <w:p w:rsidR="008215AB" w:rsidRDefault="006513FA">
            <w:pPr>
              <w:pStyle w:val="TableParagraph"/>
              <w:spacing w:before="13" w:line="112" w:lineRule="auto"/>
              <w:ind w:left="769"/>
              <w:rPr>
                <w:sz w:val="14"/>
              </w:rPr>
            </w:pPr>
            <w:r>
              <w:rPr>
                <w:position w:val="-9"/>
                <w:sz w:val="21"/>
              </w:rPr>
              <w:t>8</w:t>
            </w:r>
            <w:r>
              <w:rPr>
                <w:sz w:val="14"/>
              </w:rPr>
              <w:t>th</w:t>
            </w:r>
          </w:p>
        </w:tc>
        <w:tc>
          <w:tcPr>
            <w:tcW w:w="2228" w:type="dxa"/>
          </w:tcPr>
          <w:p w:rsidR="008215AB" w:rsidRDefault="006513FA">
            <w:pPr>
              <w:pStyle w:val="TableParagraph"/>
              <w:spacing w:line="239" w:lineRule="exact"/>
              <w:ind w:left="915" w:right="909"/>
              <w:jc w:val="center"/>
              <w:rPr>
                <w:sz w:val="21"/>
              </w:rPr>
            </w:pPr>
            <w:r>
              <w:rPr>
                <w:sz w:val="21"/>
              </w:rPr>
              <w:t>70</w:t>
            </w:r>
          </w:p>
        </w:tc>
      </w:tr>
      <w:tr w:rsidR="008215AB">
        <w:trPr>
          <w:trHeight w:val="278"/>
        </w:trPr>
        <w:tc>
          <w:tcPr>
            <w:tcW w:w="1777" w:type="dxa"/>
          </w:tcPr>
          <w:p w:rsidR="008215AB" w:rsidRDefault="006513FA">
            <w:pPr>
              <w:pStyle w:val="TableParagraph"/>
              <w:spacing w:before="12" w:line="110" w:lineRule="auto"/>
              <w:ind w:left="690" w:right="684"/>
              <w:jc w:val="center"/>
              <w:rPr>
                <w:sz w:val="14"/>
              </w:rPr>
            </w:pPr>
            <w:r>
              <w:rPr>
                <w:position w:val="-9"/>
                <w:sz w:val="21"/>
              </w:rPr>
              <w:t>9</w:t>
            </w:r>
            <w:r>
              <w:rPr>
                <w:sz w:val="14"/>
              </w:rPr>
              <w:t>th</w:t>
            </w:r>
          </w:p>
        </w:tc>
        <w:tc>
          <w:tcPr>
            <w:tcW w:w="1779" w:type="dxa"/>
          </w:tcPr>
          <w:p w:rsidR="008215AB" w:rsidRDefault="006513FA">
            <w:pPr>
              <w:pStyle w:val="TableParagraph"/>
              <w:spacing w:line="236" w:lineRule="exact"/>
              <w:ind w:left="693" w:right="683"/>
              <w:jc w:val="center"/>
              <w:rPr>
                <w:sz w:val="21"/>
              </w:rPr>
            </w:pPr>
            <w:r>
              <w:rPr>
                <w:sz w:val="21"/>
              </w:rPr>
              <w:t>80</w:t>
            </w:r>
          </w:p>
        </w:tc>
        <w:tc>
          <w:tcPr>
            <w:tcW w:w="1779" w:type="dxa"/>
          </w:tcPr>
          <w:p w:rsidR="008215AB" w:rsidRDefault="006513FA">
            <w:pPr>
              <w:pStyle w:val="TableParagraph"/>
              <w:spacing w:before="12" w:line="110" w:lineRule="auto"/>
              <w:ind w:left="769"/>
              <w:rPr>
                <w:sz w:val="14"/>
              </w:rPr>
            </w:pPr>
            <w:r>
              <w:rPr>
                <w:position w:val="-9"/>
                <w:sz w:val="21"/>
              </w:rPr>
              <w:t>9</w:t>
            </w:r>
            <w:r>
              <w:rPr>
                <w:sz w:val="14"/>
              </w:rPr>
              <w:t>th</w:t>
            </w:r>
          </w:p>
        </w:tc>
        <w:tc>
          <w:tcPr>
            <w:tcW w:w="2228" w:type="dxa"/>
          </w:tcPr>
          <w:p w:rsidR="008215AB" w:rsidRDefault="006513FA">
            <w:pPr>
              <w:pStyle w:val="TableParagraph"/>
              <w:spacing w:line="236" w:lineRule="exact"/>
              <w:ind w:left="915" w:right="909"/>
              <w:jc w:val="center"/>
              <w:rPr>
                <w:sz w:val="21"/>
              </w:rPr>
            </w:pPr>
            <w:r>
              <w:rPr>
                <w:sz w:val="21"/>
              </w:rPr>
              <w:t>80</w:t>
            </w:r>
          </w:p>
        </w:tc>
      </w:tr>
      <w:tr w:rsidR="008215AB">
        <w:trPr>
          <w:trHeight w:val="277"/>
        </w:trPr>
        <w:tc>
          <w:tcPr>
            <w:tcW w:w="1777" w:type="dxa"/>
          </w:tcPr>
          <w:p w:rsidR="008215AB" w:rsidRDefault="006513FA">
            <w:pPr>
              <w:pStyle w:val="TableParagraph"/>
              <w:spacing w:before="12" w:line="110" w:lineRule="auto"/>
              <w:ind w:left="692" w:right="684"/>
              <w:jc w:val="center"/>
              <w:rPr>
                <w:sz w:val="14"/>
              </w:rPr>
            </w:pPr>
            <w:r>
              <w:rPr>
                <w:position w:val="-9"/>
                <w:sz w:val="21"/>
              </w:rPr>
              <w:t>10</w:t>
            </w:r>
            <w:r>
              <w:rPr>
                <w:sz w:val="14"/>
              </w:rPr>
              <w:t>th</w:t>
            </w:r>
          </w:p>
        </w:tc>
        <w:tc>
          <w:tcPr>
            <w:tcW w:w="1779" w:type="dxa"/>
          </w:tcPr>
          <w:p w:rsidR="008215AB" w:rsidRDefault="006513FA">
            <w:pPr>
              <w:pStyle w:val="TableParagraph"/>
              <w:spacing w:line="236" w:lineRule="exact"/>
              <w:ind w:left="693" w:right="685"/>
              <w:jc w:val="center"/>
              <w:rPr>
                <w:sz w:val="21"/>
              </w:rPr>
            </w:pPr>
            <w:r>
              <w:rPr>
                <w:sz w:val="21"/>
              </w:rPr>
              <w:t>100</w:t>
            </w:r>
          </w:p>
        </w:tc>
        <w:tc>
          <w:tcPr>
            <w:tcW w:w="1779" w:type="dxa"/>
          </w:tcPr>
          <w:p w:rsidR="008215AB" w:rsidRDefault="006513FA">
            <w:pPr>
              <w:pStyle w:val="TableParagraph"/>
              <w:spacing w:before="12" w:line="110" w:lineRule="auto"/>
              <w:ind w:left="712"/>
              <w:rPr>
                <w:sz w:val="14"/>
              </w:rPr>
            </w:pPr>
            <w:r>
              <w:rPr>
                <w:position w:val="-9"/>
                <w:sz w:val="21"/>
              </w:rPr>
              <w:t>10</w:t>
            </w:r>
            <w:r>
              <w:rPr>
                <w:sz w:val="14"/>
              </w:rPr>
              <w:t>th</w:t>
            </w:r>
          </w:p>
        </w:tc>
        <w:tc>
          <w:tcPr>
            <w:tcW w:w="2228" w:type="dxa"/>
          </w:tcPr>
          <w:p w:rsidR="008215AB" w:rsidRDefault="006513FA">
            <w:pPr>
              <w:pStyle w:val="TableParagraph"/>
              <w:spacing w:line="236" w:lineRule="exact"/>
              <w:ind w:left="917" w:right="909"/>
              <w:jc w:val="center"/>
              <w:rPr>
                <w:sz w:val="21"/>
              </w:rPr>
            </w:pPr>
            <w:r>
              <w:rPr>
                <w:sz w:val="21"/>
              </w:rPr>
              <w:t>100</w:t>
            </w:r>
          </w:p>
        </w:tc>
      </w:tr>
      <w:tr w:rsidR="008215AB">
        <w:trPr>
          <w:trHeight w:val="834"/>
        </w:trPr>
        <w:tc>
          <w:tcPr>
            <w:tcW w:w="7563" w:type="dxa"/>
            <w:gridSpan w:val="4"/>
          </w:tcPr>
          <w:p w:rsidR="008215AB" w:rsidRDefault="006513FA">
            <w:pPr>
              <w:pStyle w:val="TableParagraph"/>
              <w:spacing w:line="236" w:lineRule="exact"/>
              <w:rPr>
                <w:sz w:val="21"/>
              </w:rPr>
            </w:pPr>
            <w:r>
              <w:rPr>
                <w:sz w:val="21"/>
              </w:rPr>
              <w:t>Note – In case derived numbers are in fraction, the same shall be rounded off</w:t>
            </w:r>
          </w:p>
          <w:p w:rsidR="008215AB" w:rsidRDefault="006513FA">
            <w:pPr>
              <w:pStyle w:val="TableParagraph"/>
              <w:spacing w:line="280" w:lineRule="atLeast"/>
              <w:ind w:right="102"/>
              <w:rPr>
                <w:sz w:val="21"/>
              </w:rPr>
            </w:pPr>
            <w:r>
              <w:rPr>
                <w:sz w:val="21"/>
              </w:rPr>
              <w:t>to the nearest whole number and fraction 0.5 shall be rounded off to next higher whole</w:t>
            </w:r>
            <w:r>
              <w:rPr>
                <w:spacing w:val="-3"/>
                <w:sz w:val="21"/>
              </w:rPr>
              <w:t xml:space="preserve"> </w:t>
            </w:r>
            <w:r>
              <w:rPr>
                <w:sz w:val="21"/>
              </w:rPr>
              <w:t>number.</w:t>
            </w:r>
          </w:p>
        </w:tc>
      </w:tr>
    </w:tbl>
    <w:p w:rsidR="008215AB" w:rsidRDefault="008215AB">
      <w:pPr>
        <w:pStyle w:val="BodyText"/>
        <w:rPr>
          <w:sz w:val="24"/>
        </w:rPr>
      </w:pPr>
    </w:p>
    <w:p w:rsidR="008215AB" w:rsidRDefault="008215AB">
      <w:pPr>
        <w:pStyle w:val="BodyText"/>
        <w:spacing w:before="11"/>
        <w:rPr>
          <w:sz w:val="27"/>
        </w:rPr>
      </w:pPr>
    </w:p>
    <w:p w:rsidR="008215AB" w:rsidRDefault="006513FA">
      <w:pPr>
        <w:ind w:left="1400"/>
        <w:jc w:val="both"/>
        <w:rPr>
          <w:sz w:val="21"/>
        </w:rPr>
      </w:pPr>
      <w:r>
        <w:rPr>
          <w:sz w:val="21"/>
        </w:rPr>
        <w:t>(2)</w:t>
      </w:r>
      <w:r>
        <w:rPr>
          <w:spacing w:val="56"/>
          <w:sz w:val="21"/>
        </w:rPr>
        <w:t xml:space="preserve"> </w:t>
      </w:r>
      <w:r>
        <w:rPr>
          <w:sz w:val="21"/>
        </w:rPr>
        <w:t>***********</w:t>
      </w:r>
    </w:p>
    <w:p w:rsidR="008215AB" w:rsidRDefault="008215AB">
      <w:pPr>
        <w:jc w:val="both"/>
        <w:rPr>
          <w:sz w:val="21"/>
        </w:rPr>
        <w:sectPr w:rsidR="008215AB">
          <w:pgSz w:w="11910" w:h="16840"/>
          <w:pgMar w:top="1340" w:right="1320" w:bottom="1220" w:left="940" w:header="0" w:footer="1034" w:gutter="0"/>
          <w:cols w:space="720"/>
        </w:sectPr>
      </w:pPr>
    </w:p>
    <w:p w:rsidR="008215AB" w:rsidRDefault="006513FA">
      <w:pPr>
        <w:spacing w:before="76" w:line="276" w:lineRule="auto"/>
        <w:ind w:left="1400" w:right="1019"/>
        <w:jc w:val="both"/>
        <w:rPr>
          <w:sz w:val="21"/>
        </w:rPr>
      </w:pPr>
      <w:r>
        <w:rPr>
          <w:sz w:val="21"/>
        </w:rPr>
        <w:t>(3) Bidder entity with the highest composite score, considering the criteria under sub-regulation (1) and as illustrated in Schedule C (1), shall be declared as successful</w:t>
      </w:r>
      <w:r>
        <w:rPr>
          <w:spacing w:val="-2"/>
          <w:sz w:val="21"/>
        </w:rPr>
        <w:t xml:space="preserve"> </w:t>
      </w:r>
      <w:r>
        <w:rPr>
          <w:sz w:val="21"/>
        </w:rPr>
        <w:t>bidder.</w:t>
      </w:r>
    </w:p>
    <w:p w:rsidR="008215AB" w:rsidRDefault="008215AB">
      <w:pPr>
        <w:pStyle w:val="BodyText"/>
        <w:spacing w:before="3"/>
        <w:rPr>
          <w:sz w:val="24"/>
        </w:rPr>
      </w:pPr>
    </w:p>
    <w:p w:rsidR="008215AB" w:rsidRDefault="006513FA">
      <w:pPr>
        <w:spacing w:line="276" w:lineRule="auto"/>
        <w:ind w:left="1400" w:right="1018"/>
        <w:jc w:val="both"/>
        <w:rPr>
          <w:sz w:val="21"/>
        </w:rPr>
      </w:pPr>
      <w:r>
        <w:rPr>
          <w:sz w:val="21"/>
        </w:rPr>
        <w:t>Provided that in case of tie in the evaluated composite score, the successf</w:t>
      </w:r>
      <w:r>
        <w:rPr>
          <w:sz w:val="21"/>
        </w:rPr>
        <w:t xml:space="preserve">ul bidder shall be decided based on the highness of numbers of PNG connections among the tied bidding entities. In case there is tie on number of PNG connections also, highness of inch-kilometer steel pipeline shall be considered and thereafter in case of </w:t>
      </w:r>
      <w:r>
        <w:rPr>
          <w:sz w:val="21"/>
        </w:rPr>
        <w:t xml:space="preserve">tie in inch-kilometer as well, highness of numbers of </w:t>
      </w:r>
      <w:r>
        <w:rPr>
          <w:b/>
          <w:sz w:val="21"/>
        </w:rPr>
        <w:t xml:space="preserve">CNG stations </w:t>
      </w:r>
      <w:r>
        <w:rPr>
          <w:sz w:val="21"/>
        </w:rPr>
        <w:t>shall be considered;‖</w:t>
      </w:r>
    </w:p>
    <w:p w:rsidR="008215AB" w:rsidRDefault="008215AB">
      <w:pPr>
        <w:pStyle w:val="BodyText"/>
        <w:rPr>
          <w:sz w:val="24"/>
        </w:rPr>
      </w:pPr>
    </w:p>
    <w:p w:rsidR="008215AB" w:rsidRDefault="008215AB">
      <w:pPr>
        <w:pStyle w:val="BodyText"/>
        <w:spacing w:before="2"/>
        <w:rPr>
          <w:sz w:val="26"/>
        </w:rPr>
      </w:pPr>
    </w:p>
    <w:p w:rsidR="008215AB" w:rsidRDefault="006513FA">
      <w:pPr>
        <w:pStyle w:val="BodyText"/>
        <w:spacing w:line="480" w:lineRule="auto"/>
        <w:ind w:left="500" w:right="114"/>
        <w:jc w:val="both"/>
      </w:pPr>
      <w:r>
        <w:t>Under Regulation 7, the Board while considering proposals for  authorisation, shall tabulate and compare all financial bids which meet the minimum eligibility criter</w:t>
      </w:r>
      <w:r>
        <w:t>ia in accordance with the bidding criteria set out as enunciated. The table  set out in Regulation 7(1)(a) provides for the tabulation of all eligible financial bids on the basis of five parameters. The table enunciates the five bidding criteria and the we</w:t>
      </w:r>
      <w:r>
        <w:t>ightage which is to be ascribed to each of them. The criteria are as</w:t>
      </w:r>
      <w:r>
        <w:rPr>
          <w:spacing w:val="-19"/>
        </w:rPr>
        <w:t xml:space="preserve"> </w:t>
      </w:r>
      <w:r>
        <w:t>follows:</w:t>
      </w:r>
    </w:p>
    <w:p w:rsidR="008215AB" w:rsidRDefault="008215AB">
      <w:pPr>
        <w:pStyle w:val="BodyText"/>
      </w:pPr>
    </w:p>
    <w:p w:rsidR="008215AB" w:rsidRDefault="006513FA">
      <w:pPr>
        <w:pStyle w:val="ListParagraph"/>
        <w:numPr>
          <w:ilvl w:val="1"/>
          <w:numId w:val="8"/>
        </w:numPr>
        <w:tabs>
          <w:tab w:val="left" w:pos="1941"/>
        </w:tabs>
        <w:spacing w:line="480" w:lineRule="auto"/>
        <w:ind w:right="119"/>
        <w:jc w:val="both"/>
        <w:rPr>
          <w:sz w:val="25"/>
        </w:rPr>
      </w:pPr>
      <w:r>
        <w:rPr>
          <w:sz w:val="25"/>
        </w:rPr>
        <w:t>The first criterion is the ‗lowness‘ of the transportation rate for CGD computed in rupees per million for a British Thermal Unit. The weightage ascribed to this criterion is 10 per cent. The explanation stipulates that a bidder is required to quote the tr</w:t>
      </w:r>
      <w:r>
        <w:rPr>
          <w:sz w:val="25"/>
        </w:rPr>
        <w:t>ansportation rate for CGD only for the first contract year at a rate not less than Rs 30 per</w:t>
      </w:r>
      <w:r>
        <w:rPr>
          <w:spacing w:val="-1"/>
          <w:sz w:val="25"/>
        </w:rPr>
        <w:t xml:space="preserve"> </w:t>
      </w:r>
      <w:r>
        <w:rPr>
          <w:sz w:val="25"/>
        </w:rPr>
        <w:t>MMBTU;</w:t>
      </w:r>
    </w:p>
    <w:p w:rsidR="008215AB" w:rsidRDefault="006513FA">
      <w:pPr>
        <w:pStyle w:val="ListParagraph"/>
        <w:numPr>
          <w:ilvl w:val="1"/>
          <w:numId w:val="8"/>
        </w:numPr>
        <w:tabs>
          <w:tab w:val="left" w:pos="1941"/>
        </w:tabs>
        <w:spacing w:line="480" w:lineRule="auto"/>
        <w:ind w:right="114"/>
        <w:jc w:val="both"/>
        <w:rPr>
          <w:sz w:val="25"/>
        </w:rPr>
      </w:pPr>
      <w:r>
        <w:rPr>
          <w:sz w:val="25"/>
        </w:rPr>
        <w:t>The second criterion is the ‗lowness‘ of the transportation rate for CNG expressed in rupees per kilogram. The weightage ascribed to this criterion is 10 pe</w:t>
      </w:r>
      <w:r>
        <w:rPr>
          <w:sz w:val="25"/>
        </w:rPr>
        <w:t>r cent. The bidder is required to quote the transportation rate only for the first contract year at a rate of not less than Rs 2 per</w:t>
      </w:r>
      <w:r>
        <w:rPr>
          <w:spacing w:val="-3"/>
          <w:sz w:val="25"/>
        </w:rPr>
        <w:t xml:space="preserve"> </w:t>
      </w:r>
      <w:r>
        <w:rPr>
          <w:sz w:val="25"/>
        </w:rPr>
        <w:t>kilogram;</w:t>
      </w:r>
    </w:p>
    <w:p w:rsidR="008215AB" w:rsidRDefault="008215AB">
      <w:pPr>
        <w:spacing w:line="480" w:lineRule="auto"/>
        <w:jc w:val="both"/>
        <w:rPr>
          <w:sz w:val="25"/>
        </w:rPr>
        <w:sectPr w:rsidR="008215AB">
          <w:pgSz w:w="11910" w:h="16840"/>
          <w:pgMar w:top="1340" w:right="1320" w:bottom="1220" w:left="940" w:header="0" w:footer="1034" w:gutter="0"/>
          <w:cols w:space="720"/>
        </w:sectPr>
      </w:pPr>
    </w:p>
    <w:p w:rsidR="008215AB" w:rsidRDefault="006513FA">
      <w:pPr>
        <w:pStyle w:val="ListParagraph"/>
        <w:numPr>
          <w:ilvl w:val="1"/>
          <w:numId w:val="8"/>
        </w:numPr>
        <w:tabs>
          <w:tab w:val="left" w:pos="1941"/>
        </w:tabs>
        <w:spacing w:before="78" w:line="480" w:lineRule="auto"/>
        <w:ind w:right="114"/>
        <w:jc w:val="both"/>
        <w:rPr>
          <w:sz w:val="25"/>
        </w:rPr>
      </w:pPr>
      <w:r>
        <w:rPr>
          <w:sz w:val="25"/>
        </w:rPr>
        <w:t>The third criterion is the ‗highness‘ of the number of CNG stations</w:t>
      </w:r>
      <w:r>
        <w:rPr>
          <w:spacing w:val="-35"/>
          <w:sz w:val="25"/>
        </w:rPr>
        <w:t xml:space="preserve"> </w:t>
      </w:r>
      <w:r>
        <w:rPr>
          <w:sz w:val="25"/>
        </w:rPr>
        <w:t>to be installed within eigh</w:t>
      </w:r>
      <w:r>
        <w:rPr>
          <w:sz w:val="25"/>
        </w:rPr>
        <w:t>t contract years from the date of authorisation. The weightage ascribed to this parameter is 20 per cent;</w:t>
      </w:r>
    </w:p>
    <w:p w:rsidR="008215AB" w:rsidRDefault="006513FA">
      <w:pPr>
        <w:pStyle w:val="ListParagraph"/>
        <w:numPr>
          <w:ilvl w:val="1"/>
          <w:numId w:val="8"/>
        </w:numPr>
        <w:tabs>
          <w:tab w:val="left" w:pos="1941"/>
        </w:tabs>
        <w:spacing w:line="480" w:lineRule="auto"/>
        <w:ind w:right="118"/>
        <w:jc w:val="both"/>
        <w:rPr>
          <w:sz w:val="25"/>
        </w:rPr>
      </w:pPr>
      <w:r>
        <w:rPr>
          <w:sz w:val="25"/>
        </w:rPr>
        <w:t>The fourth criterion is the ‗highness‘ of the number of domestic piped natural gas connections to be achieved within eight contract years from the dat</w:t>
      </w:r>
      <w:r>
        <w:rPr>
          <w:sz w:val="25"/>
        </w:rPr>
        <w:t>e of authorisation. The weightage ascribed to this criterion is 50 per cent;</w:t>
      </w:r>
      <w:r>
        <w:rPr>
          <w:spacing w:val="-2"/>
          <w:sz w:val="25"/>
        </w:rPr>
        <w:t xml:space="preserve"> </w:t>
      </w:r>
      <w:r>
        <w:rPr>
          <w:sz w:val="25"/>
        </w:rPr>
        <w:t>and</w:t>
      </w:r>
    </w:p>
    <w:p w:rsidR="008215AB" w:rsidRDefault="006513FA">
      <w:pPr>
        <w:pStyle w:val="ListParagraph"/>
        <w:numPr>
          <w:ilvl w:val="1"/>
          <w:numId w:val="8"/>
        </w:numPr>
        <w:tabs>
          <w:tab w:val="left" w:pos="1941"/>
        </w:tabs>
        <w:spacing w:before="1" w:line="480" w:lineRule="auto"/>
        <w:ind w:right="115"/>
        <w:jc w:val="both"/>
        <w:rPr>
          <w:sz w:val="25"/>
        </w:rPr>
      </w:pPr>
      <w:r>
        <w:rPr>
          <w:sz w:val="25"/>
        </w:rPr>
        <w:t>The fifth criterion is the ‗highness‘ of the inch-kilometre of steel pipeline to be laid within eight contract years from the date of authorisation. The weightage ascribed to this parameter is 10 per cent.</w:t>
      </w:r>
    </w:p>
    <w:p w:rsidR="008215AB" w:rsidRDefault="006513FA">
      <w:pPr>
        <w:pStyle w:val="BodyText"/>
        <w:spacing w:before="240" w:line="480" w:lineRule="auto"/>
        <w:ind w:left="500" w:right="115"/>
        <w:jc w:val="both"/>
      </w:pPr>
      <w:r>
        <w:t>Regulation 7(1)(b) sets out a year-wise work progr</w:t>
      </w:r>
      <w:r>
        <w:t>amme indicating the progress which must be achieved by the successful bidder every year during the course of eight contract years from the date of authorisation. Under Regulation 7(3), a bidding entity with the highest composite score, in terms of the crit</w:t>
      </w:r>
      <w:r>
        <w:t>eria contained in sub-regulation (1), is to be declared as the successful bidder. This is illustrated in Schedule C(1) of the CGD Authorisation Regulations. Schedule C(1) contains the following illustration of the manner in which the weightage for PNG conn</w:t>
      </w:r>
      <w:r>
        <w:t>ections is to be ascribed:</w:t>
      </w:r>
    </w:p>
    <w:p w:rsidR="008215AB" w:rsidRDefault="006513FA">
      <w:pPr>
        <w:spacing w:before="239" w:line="516" w:lineRule="auto"/>
        <w:ind w:left="1940" w:right="3087"/>
        <w:rPr>
          <w:b/>
          <w:sz w:val="21"/>
        </w:rPr>
      </w:pPr>
      <w:r>
        <w:rPr>
          <w:w w:val="33"/>
          <w:sz w:val="21"/>
        </w:rPr>
        <w:t>―</w:t>
      </w:r>
      <w:r>
        <w:rPr>
          <w:b/>
          <w:sz w:val="21"/>
        </w:rPr>
        <w:t>(E)</w:t>
      </w:r>
      <w:r>
        <w:rPr>
          <w:b/>
          <w:sz w:val="21"/>
        </w:rPr>
        <w:t xml:space="preserve"> </w:t>
      </w:r>
      <w:r>
        <w:rPr>
          <w:b/>
          <w:sz w:val="21"/>
        </w:rPr>
        <w:t>Number</w:t>
      </w:r>
      <w:r>
        <w:rPr>
          <w:b/>
          <w:sz w:val="21"/>
        </w:rPr>
        <w:t xml:space="preserve"> </w:t>
      </w:r>
      <w:r>
        <w:rPr>
          <w:b/>
          <w:sz w:val="21"/>
        </w:rPr>
        <w:t>of</w:t>
      </w:r>
      <w:r>
        <w:rPr>
          <w:b/>
          <w:sz w:val="21"/>
        </w:rPr>
        <w:t xml:space="preserve"> </w:t>
      </w:r>
      <w:r>
        <w:rPr>
          <w:b/>
          <w:sz w:val="21"/>
        </w:rPr>
        <w:t>PNG</w:t>
      </w:r>
      <w:r>
        <w:rPr>
          <w:b/>
          <w:sz w:val="21"/>
        </w:rPr>
        <w:t xml:space="preserve"> </w:t>
      </w:r>
      <w:r>
        <w:rPr>
          <w:b/>
          <w:sz w:val="21"/>
        </w:rPr>
        <w:t>domestic</w:t>
      </w:r>
      <w:r>
        <w:rPr>
          <w:b/>
          <w:sz w:val="21"/>
        </w:rPr>
        <w:t xml:space="preserve"> </w:t>
      </w:r>
      <w:r>
        <w:rPr>
          <w:b/>
          <w:sz w:val="21"/>
        </w:rPr>
        <w:t xml:space="preserve">connections </w:t>
      </w:r>
      <w:r>
        <w:rPr>
          <w:b/>
          <w:sz w:val="21"/>
        </w:rPr>
        <w:t>Let,</w:t>
      </w:r>
    </w:p>
    <w:p w:rsidR="008215AB" w:rsidRDefault="006513FA">
      <w:pPr>
        <w:spacing w:line="273" w:lineRule="auto"/>
        <w:ind w:left="1940" w:right="1861"/>
        <w:rPr>
          <w:b/>
          <w:sz w:val="21"/>
        </w:rPr>
      </w:pPr>
      <w:r>
        <w:rPr>
          <w:b/>
          <w:sz w:val="21"/>
        </w:rPr>
        <w:t>P1 = Number of PNG domestic connections by the 1</w:t>
      </w:r>
      <w:r>
        <w:rPr>
          <w:b/>
          <w:sz w:val="21"/>
          <w:vertAlign w:val="superscript"/>
        </w:rPr>
        <w:t>st</w:t>
      </w:r>
      <w:r>
        <w:rPr>
          <w:b/>
          <w:sz w:val="21"/>
        </w:rPr>
        <w:t xml:space="preserve"> entity</w:t>
      </w:r>
    </w:p>
    <w:p w:rsidR="008215AB" w:rsidRDefault="008215AB">
      <w:pPr>
        <w:spacing w:line="273" w:lineRule="auto"/>
        <w:rPr>
          <w:sz w:val="21"/>
        </w:rPr>
        <w:sectPr w:rsidR="008215AB">
          <w:pgSz w:w="11910" w:h="16840"/>
          <w:pgMar w:top="1340" w:right="1320" w:bottom="1220" w:left="940" w:header="0" w:footer="1034" w:gutter="0"/>
          <w:cols w:space="720"/>
        </w:sectPr>
      </w:pPr>
    </w:p>
    <w:p w:rsidR="008215AB" w:rsidRDefault="006513FA">
      <w:pPr>
        <w:spacing w:before="76" w:line="276" w:lineRule="auto"/>
        <w:ind w:left="1940" w:right="2284"/>
        <w:jc w:val="both"/>
        <w:rPr>
          <w:b/>
          <w:sz w:val="21"/>
        </w:rPr>
      </w:pPr>
      <w:r>
        <w:rPr>
          <w:b/>
          <w:sz w:val="21"/>
        </w:rPr>
        <w:t>P2 = Number of the PNG domestic connections by the 2</w:t>
      </w:r>
      <w:r>
        <w:rPr>
          <w:b/>
          <w:sz w:val="21"/>
          <w:vertAlign w:val="superscript"/>
        </w:rPr>
        <w:t>nd</w:t>
      </w:r>
      <w:r>
        <w:rPr>
          <w:b/>
          <w:spacing w:val="-3"/>
          <w:sz w:val="21"/>
        </w:rPr>
        <w:t xml:space="preserve"> </w:t>
      </w:r>
      <w:r>
        <w:rPr>
          <w:b/>
          <w:sz w:val="21"/>
        </w:rPr>
        <w:t>entity</w:t>
      </w:r>
    </w:p>
    <w:p w:rsidR="008215AB" w:rsidRDefault="008215AB">
      <w:pPr>
        <w:pStyle w:val="BodyText"/>
        <w:spacing w:before="10"/>
        <w:rPr>
          <w:b/>
          <w:sz w:val="20"/>
        </w:rPr>
      </w:pPr>
    </w:p>
    <w:p w:rsidR="008215AB" w:rsidRDefault="006513FA">
      <w:pPr>
        <w:spacing w:line="276" w:lineRule="auto"/>
        <w:ind w:left="1940" w:right="2279"/>
        <w:jc w:val="both"/>
        <w:rPr>
          <w:b/>
          <w:sz w:val="21"/>
        </w:rPr>
      </w:pPr>
      <w:r>
        <w:rPr>
          <w:b/>
          <w:sz w:val="21"/>
        </w:rPr>
        <w:t>P3 = Number of the PNG domestic connections by the 3</w:t>
      </w:r>
      <w:r>
        <w:rPr>
          <w:b/>
          <w:sz w:val="21"/>
          <w:vertAlign w:val="superscript"/>
        </w:rPr>
        <w:t>rd</w:t>
      </w:r>
      <w:r>
        <w:rPr>
          <w:b/>
          <w:spacing w:val="-2"/>
          <w:sz w:val="21"/>
        </w:rPr>
        <w:t xml:space="preserve"> </w:t>
      </w:r>
      <w:r>
        <w:rPr>
          <w:b/>
          <w:sz w:val="21"/>
        </w:rPr>
        <w:t>entity</w:t>
      </w:r>
    </w:p>
    <w:p w:rsidR="008215AB" w:rsidRDefault="008215AB">
      <w:pPr>
        <w:pStyle w:val="BodyText"/>
        <w:spacing w:before="11"/>
        <w:rPr>
          <w:b/>
          <w:sz w:val="20"/>
        </w:rPr>
      </w:pPr>
    </w:p>
    <w:p w:rsidR="008215AB" w:rsidRDefault="006513FA">
      <w:pPr>
        <w:spacing w:line="276" w:lineRule="auto"/>
        <w:ind w:left="1940" w:right="2280"/>
        <w:jc w:val="both"/>
        <w:rPr>
          <w:b/>
          <w:sz w:val="21"/>
        </w:rPr>
      </w:pPr>
      <w:r>
        <w:rPr>
          <w:b/>
          <w:sz w:val="21"/>
        </w:rPr>
        <w:t>Assume P1 is higher than P2 and P2 is higher than P3.;</w:t>
      </w:r>
    </w:p>
    <w:p w:rsidR="008215AB" w:rsidRDefault="008215AB">
      <w:pPr>
        <w:pStyle w:val="BodyText"/>
        <w:spacing w:before="9"/>
        <w:rPr>
          <w:b/>
          <w:sz w:val="20"/>
        </w:rPr>
      </w:pPr>
    </w:p>
    <w:p w:rsidR="008215AB" w:rsidRDefault="006513FA">
      <w:pPr>
        <w:spacing w:line="276" w:lineRule="auto"/>
        <w:ind w:left="1940" w:right="2279"/>
        <w:jc w:val="both"/>
        <w:rPr>
          <w:sz w:val="21"/>
        </w:rPr>
      </w:pPr>
      <w:r>
        <w:rPr>
          <w:sz w:val="21"/>
        </w:rPr>
        <w:t>The highest number of PNG domestic connections bid (HP1) shall be given a score of 100% and the number of the other PNG domestic connecti</w:t>
      </w:r>
      <w:r>
        <w:rPr>
          <w:sz w:val="21"/>
        </w:rPr>
        <w:t>ons bids shall be given a score in relation to HP1 on a pro-rata basis as under :-</w:t>
      </w:r>
    </w:p>
    <w:p w:rsidR="008215AB" w:rsidRDefault="008215AB">
      <w:pPr>
        <w:pStyle w:val="BodyText"/>
        <w:rPr>
          <w:sz w:val="20"/>
        </w:rPr>
      </w:pPr>
    </w:p>
    <w:p w:rsidR="008215AB" w:rsidRDefault="008215AB">
      <w:pPr>
        <w:pStyle w:val="BodyText"/>
        <w:spacing w:before="7"/>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1"/>
        <w:gridCol w:w="540"/>
        <w:gridCol w:w="2880"/>
      </w:tblGrid>
      <w:tr w:rsidR="008215AB">
        <w:trPr>
          <w:trHeight w:val="517"/>
        </w:trPr>
        <w:tc>
          <w:tcPr>
            <w:tcW w:w="234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HP1</w:t>
            </w:r>
          </w:p>
        </w:tc>
        <w:tc>
          <w:tcPr>
            <w:tcW w:w="540"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w:t>
            </w:r>
          </w:p>
        </w:tc>
        <w:tc>
          <w:tcPr>
            <w:tcW w:w="2880"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100%</w:t>
            </w:r>
          </w:p>
        </w:tc>
      </w:tr>
      <w:tr w:rsidR="008215AB">
        <w:trPr>
          <w:trHeight w:val="517"/>
        </w:trPr>
        <w:tc>
          <w:tcPr>
            <w:tcW w:w="234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HP2</w:t>
            </w:r>
          </w:p>
        </w:tc>
        <w:tc>
          <w:tcPr>
            <w:tcW w:w="540"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w:t>
            </w:r>
          </w:p>
        </w:tc>
        <w:tc>
          <w:tcPr>
            <w:tcW w:w="2880"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100 % x (P2 ÷ P1)</w:t>
            </w:r>
          </w:p>
        </w:tc>
      </w:tr>
      <w:tr w:rsidR="008215AB">
        <w:trPr>
          <w:trHeight w:val="479"/>
        </w:trPr>
        <w:tc>
          <w:tcPr>
            <w:tcW w:w="2341" w:type="dxa"/>
          </w:tcPr>
          <w:p w:rsidR="008215AB" w:rsidRDefault="008215AB">
            <w:pPr>
              <w:pStyle w:val="TableParagraph"/>
              <w:spacing w:before="4"/>
              <w:ind w:left="0"/>
              <w:rPr>
                <w:sz w:val="20"/>
              </w:rPr>
            </w:pPr>
          </w:p>
          <w:p w:rsidR="008215AB" w:rsidRDefault="006513FA">
            <w:pPr>
              <w:pStyle w:val="TableParagraph"/>
              <w:spacing w:before="1" w:line="225" w:lineRule="exact"/>
              <w:rPr>
                <w:sz w:val="21"/>
              </w:rPr>
            </w:pPr>
            <w:r>
              <w:rPr>
                <w:sz w:val="21"/>
              </w:rPr>
              <w:t>HP3</w:t>
            </w:r>
          </w:p>
        </w:tc>
        <w:tc>
          <w:tcPr>
            <w:tcW w:w="540" w:type="dxa"/>
          </w:tcPr>
          <w:p w:rsidR="008215AB" w:rsidRDefault="008215AB">
            <w:pPr>
              <w:pStyle w:val="TableParagraph"/>
              <w:spacing w:before="4"/>
              <w:ind w:left="0"/>
              <w:rPr>
                <w:sz w:val="20"/>
              </w:rPr>
            </w:pPr>
          </w:p>
          <w:p w:rsidR="008215AB" w:rsidRDefault="006513FA">
            <w:pPr>
              <w:pStyle w:val="TableParagraph"/>
              <w:spacing w:before="1" w:line="225" w:lineRule="exact"/>
              <w:rPr>
                <w:sz w:val="21"/>
              </w:rPr>
            </w:pPr>
            <w:r>
              <w:rPr>
                <w:sz w:val="21"/>
              </w:rPr>
              <w:t>=</w:t>
            </w:r>
          </w:p>
        </w:tc>
        <w:tc>
          <w:tcPr>
            <w:tcW w:w="2880" w:type="dxa"/>
          </w:tcPr>
          <w:p w:rsidR="008215AB" w:rsidRDefault="008215AB">
            <w:pPr>
              <w:pStyle w:val="TableParagraph"/>
              <w:spacing w:before="4"/>
              <w:ind w:left="0"/>
              <w:rPr>
                <w:sz w:val="20"/>
              </w:rPr>
            </w:pPr>
          </w:p>
          <w:p w:rsidR="008215AB" w:rsidRDefault="006513FA">
            <w:pPr>
              <w:pStyle w:val="TableParagraph"/>
              <w:spacing w:before="1" w:line="225" w:lineRule="exact"/>
              <w:rPr>
                <w:sz w:val="21"/>
              </w:rPr>
            </w:pPr>
            <w:r>
              <w:rPr>
                <w:sz w:val="21"/>
              </w:rPr>
              <w:t>100 % x (P3 ÷ P1)</w:t>
            </w:r>
          </w:p>
        </w:tc>
      </w:tr>
    </w:tbl>
    <w:p w:rsidR="008215AB" w:rsidRDefault="006513FA">
      <w:pPr>
        <w:pStyle w:val="BodyText"/>
        <w:spacing w:line="283" w:lineRule="exact"/>
        <w:ind w:right="2023"/>
        <w:jc w:val="right"/>
      </w:pPr>
      <w:r>
        <w:rPr>
          <w:w w:val="80"/>
        </w:rPr>
        <w:t>‖</w:t>
      </w:r>
    </w:p>
    <w:p w:rsidR="008215AB" w:rsidRDefault="006513FA">
      <w:pPr>
        <w:pStyle w:val="BodyText"/>
        <w:spacing w:before="240" w:line="480" w:lineRule="auto"/>
        <w:ind w:left="500" w:right="116"/>
        <w:jc w:val="both"/>
      </w:pPr>
      <w:r>
        <w:t>This illustration shows that the entity which has quoted the highest number of PNG domestic connections to be achieved is allotted a score of 100 per cent.  The entities below the highest will be assigned a score in relation to the first entity on a propor</w:t>
      </w:r>
      <w:r>
        <w:t>tionate</w:t>
      </w:r>
      <w:r>
        <w:rPr>
          <w:spacing w:val="-1"/>
        </w:rPr>
        <w:t xml:space="preserve"> </w:t>
      </w:r>
      <w:r>
        <w:t>basis.</w:t>
      </w:r>
    </w:p>
    <w:p w:rsidR="008215AB" w:rsidRDefault="008215AB">
      <w:pPr>
        <w:pStyle w:val="BodyText"/>
      </w:pPr>
    </w:p>
    <w:p w:rsidR="008215AB" w:rsidRDefault="006513FA">
      <w:pPr>
        <w:pStyle w:val="ListParagraph"/>
        <w:numPr>
          <w:ilvl w:val="0"/>
          <w:numId w:val="8"/>
        </w:numPr>
        <w:tabs>
          <w:tab w:val="left" w:pos="1221"/>
        </w:tabs>
        <w:spacing w:before="1" w:line="480" w:lineRule="auto"/>
        <w:ind w:right="116" w:firstLine="0"/>
        <w:jc w:val="both"/>
        <w:rPr>
          <w:sz w:val="25"/>
        </w:rPr>
      </w:pPr>
      <w:r>
        <w:rPr>
          <w:sz w:val="25"/>
        </w:rPr>
        <w:t>Under Regulation 9, the grant of an authorisation is to be issued to a successful entity after it furnishes a performance bond. The quantum of the performance bond is based on the population of the GA as determined with reference to the cen</w:t>
      </w:r>
      <w:r>
        <w:rPr>
          <w:sz w:val="25"/>
        </w:rPr>
        <w:t>sus data of 2011. Regulation 9 states:</w:t>
      </w:r>
    </w:p>
    <w:p w:rsidR="008215AB" w:rsidRDefault="006513FA">
      <w:pPr>
        <w:tabs>
          <w:tab w:val="left" w:pos="2660"/>
        </w:tabs>
        <w:spacing w:before="1"/>
        <w:ind w:left="1940"/>
        <w:rPr>
          <w:b/>
          <w:sz w:val="21"/>
        </w:rPr>
      </w:pPr>
      <w:r>
        <w:rPr>
          <w:spacing w:val="-1"/>
          <w:w w:val="33"/>
          <w:sz w:val="21"/>
        </w:rPr>
        <w:t>―</w:t>
      </w:r>
      <w:r>
        <w:rPr>
          <w:b/>
          <w:sz w:val="21"/>
        </w:rPr>
        <w:t>9.</w:t>
      </w:r>
      <w:r>
        <w:rPr>
          <w:b/>
          <w:sz w:val="21"/>
        </w:rPr>
        <w:tab/>
      </w:r>
      <w:r>
        <w:rPr>
          <w:b/>
          <w:sz w:val="21"/>
        </w:rPr>
        <w:t>Per</w:t>
      </w:r>
      <w:r>
        <w:rPr>
          <w:b/>
          <w:spacing w:val="-2"/>
          <w:sz w:val="21"/>
        </w:rPr>
        <w:t>f</w:t>
      </w:r>
      <w:r>
        <w:rPr>
          <w:b/>
          <w:sz w:val="21"/>
        </w:rPr>
        <w:t>or</w:t>
      </w:r>
      <w:r>
        <w:rPr>
          <w:b/>
          <w:spacing w:val="-3"/>
          <w:sz w:val="21"/>
        </w:rPr>
        <w:t>m</w:t>
      </w:r>
      <w:r>
        <w:rPr>
          <w:b/>
          <w:sz w:val="21"/>
        </w:rPr>
        <w:t>a</w:t>
      </w:r>
      <w:r>
        <w:rPr>
          <w:b/>
          <w:spacing w:val="-2"/>
          <w:sz w:val="21"/>
        </w:rPr>
        <w:t>n</w:t>
      </w:r>
      <w:r>
        <w:rPr>
          <w:b/>
          <w:sz w:val="21"/>
        </w:rPr>
        <w:t>ce</w:t>
      </w:r>
      <w:r>
        <w:rPr>
          <w:b/>
          <w:spacing w:val="-1"/>
          <w:sz w:val="21"/>
        </w:rPr>
        <w:t xml:space="preserve"> </w:t>
      </w:r>
      <w:r>
        <w:rPr>
          <w:b/>
          <w:spacing w:val="-2"/>
          <w:sz w:val="21"/>
        </w:rPr>
        <w:t>b</w:t>
      </w:r>
      <w:r>
        <w:rPr>
          <w:b/>
          <w:sz w:val="21"/>
        </w:rPr>
        <w:t>o</w:t>
      </w:r>
      <w:r>
        <w:rPr>
          <w:b/>
          <w:spacing w:val="-2"/>
          <w:sz w:val="21"/>
        </w:rPr>
        <w:t>n</w:t>
      </w:r>
      <w:r>
        <w:rPr>
          <w:b/>
          <w:sz w:val="21"/>
        </w:rPr>
        <w:t>d.</w:t>
      </w:r>
    </w:p>
    <w:p w:rsidR="008215AB" w:rsidRDefault="008215AB">
      <w:pPr>
        <w:pStyle w:val="BodyText"/>
        <w:spacing w:before="10"/>
        <w:rPr>
          <w:b/>
          <w:sz w:val="23"/>
        </w:rPr>
      </w:pPr>
    </w:p>
    <w:p w:rsidR="008215AB" w:rsidRDefault="006513FA">
      <w:pPr>
        <w:spacing w:line="276" w:lineRule="auto"/>
        <w:ind w:left="1940" w:right="2277"/>
        <w:jc w:val="both"/>
        <w:rPr>
          <w:sz w:val="21"/>
        </w:rPr>
      </w:pPr>
      <w:r>
        <w:rPr>
          <w:sz w:val="21"/>
        </w:rPr>
        <w:t>(1) Grant of authorisation shall be issued to the  successful entity after it furnishes the performance bond  in the form of demand draft or pay order or bank guarantee from any scheduled bank f</w:t>
      </w:r>
      <w:r>
        <w:rPr>
          <w:sz w:val="21"/>
        </w:rPr>
        <w:t>or the amount as per details given below,</w:t>
      </w:r>
      <w:r>
        <w:rPr>
          <w:spacing w:val="-5"/>
          <w:sz w:val="21"/>
        </w:rPr>
        <w:t xml:space="preserve"> </w:t>
      </w:r>
      <w:r>
        <w:rPr>
          <w:sz w:val="21"/>
        </w:rPr>
        <w:t>namely:-</w:t>
      </w:r>
    </w:p>
    <w:p w:rsidR="008215AB" w:rsidRDefault="008215AB">
      <w:pPr>
        <w:pStyle w:val="BodyText"/>
        <w:rPr>
          <w:sz w:val="20"/>
        </w:rPr>
      </w:pPr>
    </w:p>
    <w:p w:rsidR="008215AB" w:rsidRDefault="008215AB">
      <w:pPr>
        <w:pStyle w:val="BodyText"/>
        <w:spacing w:before="7" w:after="1"/>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1"/>
        <w:gridCol w:w="1442"/>
        <w:gridCol w:w="681"/>
        <w:gridCol w:w="668"/>
        <w:gridCol w:w="1244"/>
        <w:gridCol w:w="649"/>
      </w:tblGrid>
      <w:tr w:rsidR="008215AB">
        <w:trPr>
          <w:trHeight w:val="278"/>
        </w:trPr>
        <w:tc>
          <w:tcPr>
            <w:tcW w:w="1081" w:type="dxa"/>
          </w:tcPr>
          <w:p w:rsidR="008215AB" w:rsidRDefault="006513FA">
            <w:pPr>
              <w:pStyle w:val="TableParagraph"/>
              <w:spacing w:line="236" w:lineRule="exact"/>
              <w:rPr>
                <w:b/>
                <w:sz w:val="21"/>
              </w:rPr>
            </w:pPr>
            <w:r>
              <w:rPr>
                <w:b/>
                <w:sz w:val="21"/>
              </w:rPr>
              <w:t>Serial</w:t>
            </w:r>
          </w:p>
        </w:tc>
        <w:tc>
          <w:tcPr>
            <w:tcW w:w="1442" w:type="dxa"/>
            <w:tcBorders>
              <w:right w:val="nil"/>
            </w:tcBorders>
          </w:tcPr>
          <w:p w:rsidR="008215AB" w:rsidRDefault="006513FA">
            <w:pPr>
              <w:pStyle w:val="TableParagraph"/>
              <w:spacing w:line="236" w:lineRule="exact"/>
              <w:rPr>
                <w:b/>
                <w:sz w:val="21"/>
              </w:rPr>
            </w:pPr>
            <w:r>
              <w:rPr>
                <w:b/>
                <w:sz w:val="21"/>
              </w:rPr>
              <w:t>Population</w:t>
            </w:r>
          </w:p>
        </w:tc>
        <w:tc>
          <w:tcPr>
            <w:tcW w:w="681" w:type="dxa"/>
            <w:tcBorders>
              <w:left w:val="nil"/>
              <w:right w:val="nil"/>
            </w:tcBorders>
          </w:tcPr>
          <w:p w:rsidR="008215AB" w:rsidRDefault="006513FA">
            <w:pPr>
              <w:pStyle w:val="TableParagraph"/>
              <w:spacing w:line="236" w:lineRule="exact"/>
              <w:ind w:left="230" w:right="223"/>
              <w:jc w:val="center"/>
              <w:rPr>
                <w:b/>
                <w:sz w:val="21"/>
              </w:rPr>
            </w:pPr>
            <w:r>
              <w:rPr>
                <w:b/>
                <w:sz w:val="21"/>
              </w:rPr>
              <w:t>in</w:t>
            </w:r>
          </w:p>
        </w:tc>
        <w:tc>
          <w:tcPr>
            <w:tcW w:w="668" w:type="dxa"/>
            <w:tcBorders>
              <w:left w:val="nil"/>
            </w:tcBorders>
          </w:tcPr>
          <w:p w:rsidR="008215AB" w:rsidRDefault="006513FA">
            <w:pPr>
              <w:pStyle w:val="TableParagraph"/>
              <w:spacing w:line="236" w:lineRule="exact"/>
              <w:ind w:left="249"/>
              <w:rPr>
                <w:b/>
                <w:sz w:val="21"/>
              </w:rPr>
            </w:pPr>
            <w:r>
              <w:rPr>
                <w:b/>
                <w:sz w:val="21"/>
              </w:rPr>
              <w:t>the</w:t>
            </w:r>
          </w:p>
        </w:tc>
        <w:tc>
          <w:tcPr>
            <w:tcW w:w="1244" w:type="dxa"/>
            <w:tcBorders>
              <w:right w:val="nil"/>
            </w:tcBorders>
          </w:tcPr>
          <w:p w:rsidR="008215AB" w:rsidRDefault="006513FA">
            <w:pPr>
              <w:pStyle w:val="TableParagraph"/>
              <w:spacing w:line="236" w:lineRule="exact"/>
              <w:ind w:left="105"/>
              <w:rPr>
                <w:b/>
                <w:sz w:val="21"/>
              </w:rPr>
            </w:pPr>
            <w:r>
              <w:rPr>
                <w:b/>
                <w:sz w:val="21"/>
              </w:rPr>
              <w:t>Amount</w:t>
            </w:r>
          </w:p>
        </w:tc>
        <w:tc>
          <w:tcPr>
            <w:tcW w:w="649" w:type="dxa"/>
            <w:tcBorders>
              <w:left w:val="nil"/>
            </w:tcBorders>
          </w:tcPr>
          <w:p w:rsidR="008215AB" w:rsidRDefault="006513FA">
            <w:pPr>
              <w:pStyle w:val="TableParagraph"/>
              <w:spacing w:line="236" w:lineRule="exact"/>
              <w:ind w:left="342"/>
              <w:rPr>
                <w:b/>
                <w:sz w:val="21"/>
              </w:rPr>
            </w:pPr>
            <w:r>
              <w:rPr>
                <w:b/>
                <w:sz w:val="21"/>
              </w:rPr>
              <w:t>of</w:t>
            </w:r>
          </w:p>
        </w:tc>
      </w:tr>
    </w:tbl>
    <w:p w:rsidR="008215AB" w:rsidRDefault="008215AB">
      <w:pPr>
        <w:spacing w:line="236" w:lineRule="exact"/>
        <w:rPr>
          <w:sz w:val="21"/>
        </w:rPr>
        <w:sectPr w:rsidR="008215AB">
          <w:pgSz w:w="11910" w:h="16840"/>
          <w:pgMar w:top="1340" w:right="1320" w:bottom="1220" w:left="940" w:header="0" w:footer="1034" w:gutter="0"/>
          <w:cols w:space="720"/>
        </w:sectPr>
      </w:pPr>
    </w:p>
    <w:tbl>
      <w:tblPr>
        <w:tblW w:w="0" w:type="auto"/>
        <w:tblInd w:w="1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1"/>
        <w:gridCol w:w="2790"/>
        <w:gridCol w:w="1892"/>
      </w:tblGrid>
      <w:tr w:rsidR="008215AB">
        <w:trPr>
          <w:trHeight w:val="556"/>
        </w:trPr>
        <w:tc>
          <w:tcPr>
            <w:tcW w:w="1081" w:type="dxa"/>
          </w:tcPr>
          <w:p w:rsidR="008215AB" w:rsidRDefault="006513FA">
            <w:pPr>
              <w:pStyle w:val="TableParagraph"/>
              <w:spacing w:line="237" w:lineRule="exact"/>
              <w:rPr>
                <w:b/>
                <w:sz w:val="21"/>
              </w:rPr>
            </w:pPr>
            <w:r>
              <w:rPr>
                <w:b/>
                <w:sz w:val="21"/>
              </w:rPr>
              <w:t>Number</w:t>
            </w:r>
          </w:p>
        </w:tc>
        <w:tc>
          <w:tcPr>
            <w:tcW w:w="2790" w:type="dxa"/>
          </w:tcPr>
          <w:p w:rsidR="008215AB" w:rsidRDefault="006513FA">
            <w:pPr>
              <w:pStyle w:val="TableParagraph"/>
              <w:tabs>
                <w:tab w:val="left" w:pos="1688"/>
                <w:tab w:val="left" w:pos="2446"/>
              </w:tabs>
              <w:spacing w:line="237" w:lineRule="exact"/>
              <w:rPr>
                <w:b/>
                <w:sz w:val="21"/>
              </w:rPr>
            </w:pPr>
            <w:r>
              <w:rPr>
                <w:b/>
                <w:sz w:val="21"/>
              </w:rPr>
              <w:t>Geographical</w:t>
            </w:r>
            <w:r>
              <w:rPr>
                <w:b/>
                <w:sz w:val="21"/>
              </w:rPr>
              <w:tab/>
              <w:t>Area,</w:t>
            </w:r>
            <w:r>
              <w:rPr>
                <w:b/>
                <w:sz w:val="21"/>
              </w:rPr>
              <w:tab/>
              <w:t>as</w:t>
            </w:r>
          </w:p>
          <w:p w:rsidR="008215AB" w:rsidRDefault="006513FA">
            <w:pPr>
              <w:pStyle w:val="TableParagraph"/>
              <w:spacing w:before="37"/>
              <w:rPr>
                <w:b/>
                <w:sz w:val="21"/>
              </w:rPr>
            </w:pPr>
            <w:r>
              <w:rPr>
                <w:b/>
                <w:sz w:val="21"/>
              </w:rPr>
              <w:t>pre 2011 Census of India</w:t>
            </w:r>
          </w:p>
        </w:tc>
        <w:tc>
          <w:tcPr>
            <w:tcW w:w="1892" w:type="dxa"/>
          </w:tcPr>
          <w:p w:rsidR="008215AB" w:rsidRDefault="006513FA">
            <w:pPr>
              <w:pStyle w:val="TableParagraph"/>
              <w:spacing w:line="237" w:lineRule="exact"/>
              <w:ind w:left="106"/>
              <w:rPr>
                <w:b/>
                <w:sz w:val="21"/>
              </w:rPr>
            </w:pPr>
            <w:r>
              <w:rPr>
                <w:b/>
                <w:sz w:val="21"/>
              </w:rPr>
              <w:t>Performance</w:t>
            </w:r>
          </w:p>
          <w:p w:rsidR="008215AB" w:rsidRDefault="006513FA">
            <w:pPr>
              <w:pStyle w:val="TableParagraph"/>
              <w:spacing w:before="37"/>
              <w:ind w:left="106"/>
              <w:rPr>
                <w:b/>
                <w:sz w:val="21"/>
              </w:rPr>
            </w:pPr>
            <w:r>
              <w:rPr>
                <w:b/>
                <w:sz w:val="21"/>
              </w:rPr>
              <w:t>Bond (Rupees)</w:t>
            </w:r>
          </w:p>
        </w:tc>
      </w:tr>
      <w:tr w:rsidR="008215AB">
        <w:trPr>
          <w:trHeight w:val="515"/>
        </w:trPr>
        <w:tc>
          <w:tcPr>
            <w:tcW w:w="108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w:t>
            </w:r>
          </w:p>
        </w:tc>
        <w:tc>
          <w:tcPr>
            <w:tcW w:w="2790"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5 million or more</w:t>
            </w:r>
          </w:p>
        </w:tc>
        <w:tc>
          <w:tcPr>
            <w:tcW w:w="1892" w:type="dxa"/>
          </w:tcPr>
          <w:p w:rsidR="008215AB" w:rsidRDefault="008215AB">
            <w:pPr>
              <w:pStyle w:val="TableParagraph"/>
              <w:spacing w:before="4"/>
              <w:ind w:left="0"/>
              <w:rPr>
                <w:sz w:val="20"/>
              </w:rPr>
            </w:pPr>
          </w:p>
          <w:p w:rsidR="008215AB" w:rsidRDefault="006513FA">
            <w:pPr>
              <w:pStyle w:val="TableParagraph"/>
              <w:spacing w:before="1"/>
              <w:ind w:left="106"/>
              <w:rPr>
                <w:sz w:val="21"/>
              </w:rPr>
            </w:pPr>
            <w:r>
              <w:rPr>
                <w:sz w:val="21"/>
              </w:rPr>
              <w:t>500 million</w:t>
            </w:r>
          </w:p>
        </w:tc>
      </w:tr>
      <w:tr w:rsidR="008215AB">
        <w:trPr>
          <w:trHeight w:val="796"/>
        </w:trPr>
        <w:tc>
          <w:tcPr>
            <w:tcW w:w="1081" w:type="dxa"/>
          </w:tcPr>
          <w:p w:rsidR="008215AB" w:rsidRDefault="008215AB">
            <w:pPr>
              <w:pStyle w:val="TableParagraph"/>
              <w:spacing w:before="7"/>
              <w:ind w:left="0"/>
              <w:rPr>
                <w:sz w:val="20"/>
              </w:rPr>
            </w:pPr>
          </w:p>
          <w:p w:rsidR="008215AB" w:rsidRDefault="006513FA">
            <w:pPr>
              <w:pStyle w:val="TableParagraph"/>
              <w:rPr>
                <w:sz w:val="21"/>
              </w:rPr>
            </w:pPr>
            <w:r>
              <w:rPr>
                <w:sz w:val="21"/>
              </w:rPr>
              <w:t>2</w:t>
            </w:r>
          </w:p>
        </w:tc>
        <w:tc>
          <w:tcPr>
            <w:tcW w:w="2790" w:type="dxa"/>
          </w:tcPr>
          <w:p w:rsidR="008215AB" w:rsidRDefault="006513FA">
            <w:pPr>
              <w:pStyle w:val="TableParagraph"/>
              <w:spacing w:before="208" w:line="270" w:lineRule="atLeast"/>
              <w:rPr>
                <w:sz w:val="21"/>
              </w:rPr>
            </w:pPr>
            <w:r>
              <w:rPr>
                <w:sz w:val="21"/>
              </w:rPr>
              <w:t>2 million or more but less than 5 million</w:t>
            </w:r>
          </w:p>
        </w:tc>
        <w:tc>
          <w:tcPr>
            <w:tcW w:w="1892" w:type="dxa"/>
          </w:tcPr>
          <w:p w:rsidR="008215AB" w:rsidRDefault="008215AB">
            <w:pPr>
              <w:pStyle w:val="TableParagraph"/>
              <w:spacing w:before="7"/>
              <w:ind w:left="0"/>
              <w:rPr>
                <w:sz w:val="20"/>
              </w:rPr>
            </w:pPr>
          </w:p>
          <w:p w:rsidR="008215AB" w:rsidRDefault="006513FA">
            <w:pPr>
              <w:pStyle w:val="TableParagraph"/>
              <w:ind w:left="106"/>
              <w:rPr>
                <w:sz w:val="21"/>
              </w:rPr>
            </w:pPr>
            <w:r>
              <w:rPr>
                <w:sz w:val="21"/>
              </w:rPr>
              <w:t>330 million</w:t>
            </w:r>
          </w:p>
        </w:tc>
      </w:tr>
      <w:tr w:rsidR="008215AB">
        <w:trPr>
          <w:trHeight w:val="796"/>
        </w:trPr>
        <w:tc>
          <w:tcPr>
            <w:tcW w:w="108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3</w:t>
            </w:r>
          </w:p>
        </w:tc>
        <w:tc>
          <w:tcPr>
            <w:tcW w:w="2790" w:type="dxa"/>
          </w:tcPr>
          <w:p w:rsidR="008215AB" w:rsidRDefault="006513FA">
            <w:pPr>
              <w:pStyle w:val="TableParagraph"/>
              <w:spacing w:before="196" w:line="280" w:lineRule="atLeast"/>
              <w:rPr>
                <w:sz w:val="21"/>
              </w:rPr>
            </w:pPr>
            <w:r>
              <w:rPr>
                <w:sz w:val="21"/>
              </w:rPr>
              <w:t>1 million or more but less than 2 million</w:t>
            </w:r>
          </w:p>
        </w:tc>
        <w:tc>
          <w:tcPr>
            <w:tcW w:w="1892" w:type="dxa"/>
          </w:tcPr>
          <w:p w:rsidR="008215AB" w:rsidRDefault="008215AB">
            <w:pPr>
              <w:pStyle w:val="TableParagraph"/>
              <w:spacing w:before="4"/>
              <w:ind w:left="0"/>
              <w:rPr>
                <w:sz w:val="20"/>
              </w:rPr>
            </w:pPr>
          </w:p>
          <w:p w:rsidR="008215AB" w:rsidRDefault="006513FA">
            <w:pPr>
              <w:pStyle w:val="TableParagraph"/>
              <w:spacing w:before="1"/>
              <w:ind w:left="106"/>
              <w:rPr>
                <w:sz w:val="21"/>
              </w:rPr>
            </w:pPr>
            <w:r>
              <w:rPr>
                <w:sz w:val="21"/>
              </w:rPr>
              <w:t>250 million</w:t>
            </w:r>
          </w:p>
        </w:tc>
      </w:tr>
      <w:tr w:rsidR="008215AB">
        <w:trPr>
          <w:trHeight w:val="794"/>
        </w:trPr>
        <w:tc>
          <w:tcPr>
            <w:tcW w:w="108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4</w:t>
            </w:r>
          </w:p>
        </w:tc>
        <w:tc>
          <w:tcPr>
            <w:tcW w:w="2790" w:type="dxa"/>
          </w:tcPr>
          <w:p w:rsidR="008215AB" w:rsidRDefault="006513FA">
            <w:pPr>
              <w:pStyle w:val="TableParagraph"/>
              <w:spacing w:before="196" w:line="280" w:lineRule="atLeast"/>
              <w:rPr>
                <w:sz w:val="21"/>
              </w:rPr>
            </w:pPr>
            <w:r>
              <w:rPr>
                <w:sz w:val="21"/>
              </w:rPr>
              <w:t>0.5 million or more but less than 1 million</w:t>
            </w:r>
          </w:p>
        </w:tc>
        <w:tc>
          <w:tcPr>
            <w:tcW w:w="1892" w:type="dxa"/>
          </w:tcPr>
          <w:p w:rsidR="008215AB" w:rsidRDefault="008215AB">
            <w:pPr>
              <w:pStyle w:val="TableParagraph"/>
              <w:spacing w:before="4"/>
              <w:ind w:left="0"/>
              <w:rPr>
                <w:sz w:val="20"/>
              </w:rPr>
            </w:pPr>
          </w:p>
          <w:p w:rsidR="008215AB" w:rsidRDefault="006513FA">
            <w:pPr>
              <w:pStyle w:val="TableParagraph"/>
              <w:spacing w:before="1"/>
              <w:ind w:left="106"/>
              <w:rPr>
                <w:sz w:val="21"/>
              </w:rPr>
            </w:pPr>
            <w:r>
              <w:rPr>
                <w:sz w:val="21"/>
              </w:rPr>
              <w:t>150 million</w:t>
            </w:r>
          </w:p>
        </w:tc>
      </w:tr>
      <w:tr w:rsidR="008215AB">
        <w:trPr>
          <w:trHeight w:val="796"/>
        </w:trPr>
        <w:tc>
          <w:tcPr>
            <w:tcW w:w="108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5</w:t>
            </w:r>
          </w:p>
        </w:tc>
        <w:tc>
          <w:tcPr>
            <w:tcW w:w="2790" w:type="dxa"/>
          </w:tcPr>
          <w:p w:rsidR="008215AB" w:rsidRDefault="006513FA">
            <w:pPr>
              <w:pStyle w:val="TableParagraph"/>
              <w:spacing w:before="196" w:line="280" w:lineRule="atLeast"/>
              <w:ind w:right="105"/>
              <w:rPr>
                <w:sz w:val="21"/>
              </w:rPr>
            </w:pPr>
            <w:r>
              <w:rPr>
                <w:sz w:val="21"/>
              </w:rPr>
              <w:t>0.25 million or more but less than 0.50</w:t>
            </w:r>
            <w:r>
              <w:rPr>
                <w:spacing w:val="-6"/>
                <w:sz w:val="21"/>
              </w:rPr>
              <w:t xml:space="preserve"> </w:t>
            </w:r>
            <w:r>
              <w:rPr>
                <w:sz w:val="21"/>
              </w:rPr>
              <w:t>million</w:t>
            </w:r>
          </w:p>
        </w:tc>
        <w:tc>
          <w:tcPr>
            <w:tcW w:w="1892" w:type="dxa"/>
          </w:tcPr>
          <w:p w:rsidR="008215AB" w:rsidRDefault="008215AB">
            <w:pPr>
              <w:pStyle w:val="TableParagraph"/>
              <w:spacing w:before="4"/>
              <w:ind w:left="0"/>
              <w:rPr>
                <w:sz w:val="20"/>
              </w:rPr>
            </w:pPr>
          </w:p>
          <w:p w:rsidR="008215AB" w:rsidRDefault="006513FA">
            <w:pPr>
              <w:pStyle w:val="TableParagraph"/>
              <w:spacing w:before="1"/>
              <w:ind w:left="106"/>
              <w:rPr>
                <w:sz w:val="21"/>
              </w:rPr>
            </w:pPr>
            <w:r>
              <w:rPr>
                <w:sz w:val="21"/>
              </w:rPr>
              <w:t>80 million</w:t>
            </w:r>
          </w:p>
        </w:tc>
      </w:tr>
      <w:tr w:rsidR="008215AB">
        <w:trPr>
          <w:trHeight w:val="793"/>
        </w:trPr>
        <w:tc>
          <w:tcPr>
            <w:tcW w:w="1081"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6</w:t>
            </w:r>
          </w:p>
        </w:tc>
        <w:tc>
          <w:tcPr>
            <w:tcW w:w="2790" w:type="dxa"/>
          </w:tcPr>
          <w:p w:rsidR="008215AB" w:rsidRDefault="006513FA">
            <w:pPr>
              <w:pStyle w:val="TableParagraph"/>
              <w:spacing w:before="196" w:line="280" w:lineRule="atLeast"/>
              <w:rPr>
                <w:sz w:val="21"/>
              </w:rPr>
            </w:pPr>
            <w:r>
              <w:rPr>
                <w:sz w:val="21"/>
              </w:rPr>
              <w:t>0.1 million or more but less than 0.25 million</w:t>
            </w:r>
          </w:p>
        </w:tc>
        <w:tc>
          <w:tcPr>
            <w:tcW w:w="1892" w:type="dxa"/>
          </w:tcPr>
          <w:p w:rsidR="008215AB" w:rsidRDefault="008215AB">
            <w:pPr>
              <w:pStyle w:val="TableParagraph"/>
              <w:spacing w:before="4"/>
              <w:ind w:left="0"/>
              <w:rPr>
                <w:sz w:val="20"/>
              </w:rPr>
            </w:pPr>
          </w:p>
          <w:p w:rsidR="008215AB" w:rsidRDefault="006513FA">
            <w:pPr>
              <w:pStyle w:val="TableParagraph"/>
              <w:spacing w:before="1"/>
              <w:ind w:left="106"/>
              <w:rPr>
                <w:sz w:val="21"/>
              </w:rPr>
            </w:pPr>
            <w:r>
              <w:rPr>
                <w:sz w:val="21"/>
              </w:rPr>
              <w:t>30 million</w:t>
            </w:r>
          </w:p>
        </w:tc>
      </w:tr>
      <w:tr w:rsidR="008215AB">
        <w:trPr>
          <w:trHeight w:val="517"/>
        </w:trPr>
        <w:tc>
          <w:tcPr>
            <w:tcW w:w="1081" w:type="dxa"/>
          </w:tcPr>
          <w:p w:rsidR="008215AB" w:rsidRDefault="008215AB">
            <w:pPr>
              <w:pStyle w:val="TableParagraph"/>
              <w:spacing w:before="7"/>
              <w:ind w:left="0"/>
              <w:rPr>
                <w:sz w:val="20"/>
              </w:rPr>
            </w:pPr>
          </w:p>
          <w:p w:rsidR="008215AB" w:rsidRDefault="006513FA">
            <w:pPr>
              <w:pStyle w:val="TableParagraph"/>
              <w:rPr>
                <w:sz w:val="21"/>
              </w:rPr>
            </w:pPr>
            <w:r>
              <w:rPr>
                <w:sz w:val="21"/>
              </w:rPr>
              <w:t>7</w:t>
            </w:r>
          </w:p>
        </w:tc>
        <w:tc>
          <w:tcPr>
            <w:tcW w:w="2790" w:type="dxa"/>
          </w:tcPr>
          <w:p w:rsidR="008215AB" w:rsidRDefault="008215AB">
            <w:pPr>
              <w:pStyle w:val="TableParagraph"/>
              <w:spacing w:before="7"/>
              <w:ind w:left="0"/>
              <w:rPr>
                <w:sz w:val="20"/>
              </w:rPr>
            </w:pPr>
          </w:p>
          <w:p w:rsidR="008215AB" w:rsidRDefault="006513FA">
            <w:pPr>
              <w:pStyle w:val="TableParagraph"/>
              <w:rPr>
                <w:b/>
                <w:sz w:val="21"/>
              </w:rPr>
            </w:pPr>
            <w:r>
              <w:rPr>
                <w:b/>
                <w:sz w:val="21"/>
              </w:rPr>
              <w:t>Less than 0.1 million</w:t>
            </w:r>
          </w:p>
        </w:tc>
        <w:tc>
          <w:tcPr>
            <w:tcW w:w="1892" w:type="dxa"/>
          </w:tcPr>
          <w:p w:rsidR="008215AB" w:rsidRDefault="008215AB">
            <w:pPr>
              <w:pStyle w:val="TableParagraph"/>
              <w:spacing w:before="7"/>
              <w:ind w:left="0"/>
              <w:rPr>
                <w:sz w:val="20"/>
              </w:rPr>
            </w:pPr>
          </w:p>
          <w:p w:rsidR="008215AB" w:rsidRDefault="006513FA">
            <w:pPr>
              <w:pStyle w:val="TableParagraph"/>
              <w:ind w:left="106"/>
              <w:rPr>
                <w:b/>
                <w:sz w:val="21"/>
              </w:rPr>
            </w:pPr>
            <w:r>
              <w:rPr>
                <w:b/>
                <w:sz w:val="21"/>
              </w:rPr>
              <w:t>15 million</w:t>
            </w:r>
          </w:p>
        </w:tc>
      </w:tr>
    </w:tbl>
    <w:p w:rsidR="008215AB" w:rsidRDefault="008215AB">
      <w:pPr>
        <w:pStyle w:val="BodyText"/>
        <w:spacing w:before="2"/>
        <w:rPr>
          <w:sz w:val="12"/>
        </w:rPr>
      </w:pPr>
    </w:p>
    <w:p w:rsidR="008215AB" w:rsidRDefault="006513FA">
      <w:pPr>
        <w:spacing w:before="95"/>
        <w:ind w:right="1872"/>
        <w:jc w:val="right"/>
        <w:rPr>
          <w:sz w:val="21"/>
        </w:rPr>
      </w:pPr>
      <w:r>
        <w:rPr>
          <w:w w:val="81"/>
          <w:sz w:val="21"/>
        </w:rPr>
        <w:t>‖</w:t>
      </w:r>
    </w:p>
    <w:p w:rsidR="008215AB" w:rsidRDefault="006513FA">
      <w:pPr>
        <w:pStyle w:val="BodyText"/>
        <w:spacing w:before="2" w:line="480" w:lineRule="auto"/>
        <w:ind w:left="500" w:right="114"/>
        <w:jc w:val="both"/>
      </w:pPr>
      <w:r>
        <w:t>Under Regulation 10, the successful entity is to be issued a letter of intent</w:t>
      </w:r>
      <w:r>
        <w:rPr>
          <w:vertAlign w:val="superscript"/>
        </w:rPr>
        <w:t>7</w:t>
      </w:r>
      <w:r>
        <w:t xml:space="preserve"> upon the finalisation of the bid. Under the CGD Authorisation Regulations, the authorised entity must also obtain financial closure for the project from a bank or financial institution within 270 days of authorisation.</w:t>
      </w:r>
    </w:p>
    <w:p w:rsidR="008215AB" w:rsidRDefault="008215AB">
      <w:pPr>
        <w:pStyle w:val="BodyText"/>
      </w:pPr>
    </w:p>
    <w:p w:rsidR="008215AB" w:rsidRDefault="006513FA">
      <w:pPr>
        <w:pStyle w:val="ListParagraph"/>
        <w:numPr>
          <w:ilvl w:val="0"/>
          <w:numId w:val="8"/>
        </w:numPr>
        <w:tabs>
          <w:tab w:val="left" w:pos="1221"/>
        </w:tabs>
        <w:spacing w:line="480" w:lineRule="auto"/>
        <w:ind w:right="117" w:firstLine="0"/>
        <w:jc w:val="both"/>
        <w:rPr>
          <w:sz w:val="25"/>
        </w:rPr>
      </w:pPr>
      <w:r>
        <w:rPr>
          <w:sz w:val="25"/>
        </w:rPr>
        <w:t>The period of implementation of the project under the ninth round of CGD bidding is 2018 to 2026. The period for commercial operation is between 2018 and</w:t>
      </w:r>
      <w:r>
        <w:rPr>
          <w:spacing w:val="-2"/>
          <w:sz w:val="25"/>
        </w:rPr>
        <w:t xml:space="preserve"> </w:t>
      </w:r>
      <w:r>
        <w:rPr>
          <w:sz w:val="25"/>
        </w:rPr>
        <w:t>2043.</w:t>
      </w:r>
    </w:p>
    <w:p w:rsidR="008215AB" w:rsidRDefault="008215AB">
      <w:pPr>
        <w:pStyle w:val="BodyText"/>
        <w:spacing w:before="2"/>
      </w:pPr>
    </w:p>
    <w:p w:rsidR="008215AB" w:rsidRDefault="006513FA">
      <w:pPr>
        <w:pStyle w:val="ListParagraph"/>
        <w:numPr>
          <w:ilvl w:val="0"/>
          <w:numId w:val="8"/>
        </w:numPr>
        <w:tabs>
          <w:tab w:val="left" w:pos="1221"/>
        </w:tabs>
        <w:spacing w:after="19" w:line="480" w:lineRule="auto"/>
        <w:ind w:right="114" w:firstLine="0"/>
        <w:jc w:val="both"/>
        <w:rPr>
          <w:sz w:val="25"/>
        </w:rPr>
      </w:pPr>
      <w:r>
        <w:rPr>
          <w:sz w:val="25"/>
        </w:rPr>
        <w:t xml:space="preserve">From an analysis of the CGD Authorisation Regulations, it becomes evident that the 2011 census </w:t>
      </w:r>
      <w:r>
        <w:rPr>
          <w:sz w:val="25"/>
        </w:rPr>
        <w:t>figures have been utilised to peg the net-worth requirement in Regulation 5(6)(e) and the value of the performance bond to be submitted to the Board post authorisation in Regulation 9. Significantly, Regulation</w:t>
      </w:r>
      <w:r>
        <w:rPr>
          <w:spacing w:val="19"/>
          <w:sz w:val="25"/>
        </w:rPr>
        <w:t xml:space="preserve"> </w:t>
      </w:r>
      <w:r>
        <w:rPr>
          <w:sz w:val="25"/>
        </w:rPr>
        <w:t>7,</w:t>
      </w:r>
      <w:r>
        <w:rPr>
          <w:spacing w:val="18"/>
          <w:sz w:val="25"/>
        </w:rPr>
        <w:t xml:space="preserve"> </w:t>
      </w:r>
      <w:r>
        <w:rPr>
          <w:sz w:val="25"/>
        </w:rPr>
        <w:t>which</w:t>
      </w:r>
      <w:r>
        <w:rPr>
          <w:spacing w:val="18"/>
          <w:sz w:val="25"/>
        </w:rPr>
        <w:t xml:space="preserve"> </w:t>
      </w:r>
      <w:r>
        <w:rPr>
          <w:sz w:val="25"/>
        </w:rPr>
        <w:t>provides</w:t>
      </w:r>
      <w:r>
        <w:rPr>
          <w:spacing w:val="20"/>
          <w:sz w:val="25"/>
        </w:rPr>
        <w:t xml:space="preserve"> </w:t>
      </w:r>
      <w:r>
        <w:rPr>
          <w:sz w:val="25"/>
        </w:rPr>
        <w:t>a</w:t>
      </w:r>
      <w:r>
        <w:rPr>
          <w:spacing w:val="18"/>
          <w:sz w:val="25"/>
        </w:rPr>
        <w:t xml:space="preserve"> </w:t>
      </w:r>
      <w:r>
        <w:rPr>
          <w:sz w:val="25"/>
        </w:rPr>
        <w:t>table</w:t>
      </w:r>
      <w:r>
        <w:rPr>
          <w:spacing w:val="18"/>
          <w:sz w:val="25"/>
        </w:rPr>
        <w:t xml:space="preserve"> </w:t>
      </w:r>
      <w:r>
        <w:rPr>
          <w:sz w:val="25"/>
        </w:rPr>
        <w:t>specifying</w:t>
      </w:r>
      <w:r>
        <w:rPr>
          <w:spacing w:val="21"/>
          <w:sz w:val="25"/>
        </w:rPr>
        <w:t xml:space="preserve"> </w:t>
      </w:r>
      <w:r>
        <w:rPr>
          <w:sz w:val="25"/>
        </w:rPr>
        <w:t>the</w:t>
      </w:r>
      <w:r>
        <w:rPr>
          <w:spacing w:val="19"/>
          <w:sz w:val="25"/>
        </w:rPr>
        <w:t xml:space="preserve"> </w:t>
      </w:r>
      <w:r>
        <w:rPr>
          <w:sz w:val="25"/>
        </w:rPr>
        <w:t>five</w:t>
      </w:r>
      <w:r>
        <w:rPr>
          <w:spacing w:val="18"/>
          <w:sz w:val="25"/>
        </w:rPr>
        <w:t xml:space="preserve"> </w:t>
      </w:r>
      <w:r>
        <w:rPr>
          <w:sz w:val="25"/>
        </w:rPr>
        <w:t>bidding</w:t>
      </w:r>
      <w:r>
        <w:rPr>
          <w:spacing w:val="18"/>
          <w:sz w:val="25"/>
        </w:rPr>
        <w:t xml:space="preserve"> </w:t>
      </w:r>
      <w:r>
        <w:rPr>
          <w:sz w:val="25"/>
        </w:rPr>
        <w:t>criteria</w:t>
      </w:r>
      <w:r>
        <w:rPr>
          <w:spacing w:val="21"/>
          <w:sz w:val="25"/>
        </w:rPr>
        <w:t xml:space="preserve"> </w:t>
      </w:r>
      <w:r>
        <w:rPr>
          <w:sz w:val="25"/>
        </w:rPr>
        <w:t>to</w:t>
      </w:r>
    </w:p>
    <w:p w:rsidR="008215AB" w:rsidRDefault="008215AB">
      <w:pPr>
        <w:pStyle w:val="BodyText"/>
        <w:spacing w:line="20" w:lineRule="exact"/>
        <w:ind w:left="500"/>
        <w:rPr>
          <w:sz w:val="2"/>
        </w:rPr>
      </w:pPr>
      <w:r>
        <w:rPr>
          <w:sz w:val="2"/>
        </w:rPr>
      </w:r>
      <w:r>
        <w:rPr>
          <w:sz w:val="2"/>
        </w:rPr>
        <w:pict>
          <v:group id="_x0000_s2057" style="width:144.05pt;height:.6pt;mso-position-horizontal-relative:char;mso-position-vertical-relative:line" coordsize="2881,12">
            <v:rect id="_x0000_s2058" style="position:absolute;width:2881;height:12" fillcolor="black" stroked="f"/>
            <w10:wrap type="none"/>
            <w10:anchorlock/>
          </v:group>
        </w:pict>
      </w:r>
    </w:p>
    <w:p w:rsidR="008215AB" w:rsidRDefault="006513FA">
      <w:pPr>
        <w:spacing w:before="101"/>
        <w:ind w:left="500"/>
        <w:rPr>
          <w:sz w:val="18"/>
        </w:rPr>
      </w:pPr>
      <w:r>
        <w:rPr>
          <w:w w:val="95"/>
          <w:sz w:val="18"/>
          <w:vertAlign w:val="superscript"/>
        </w:rPr>
        <w:t>7</w:t>
      </w:r>
      <w:r>
        <w:rPr>
          <w:w w:val="95"/>
          <w:sz w:val="18"/>
        </w:rPr>
        <w:t xml:space="preserve"> ―LOI‖</w:t>
      </w:r>
    </w:p>
    <w:p w:rsidR="008215AB" w:rsidRDefault="008215AB">
      <w:pPr>
        <w:rPr>
          <w:sz w:val="18"/>
        </w:rPr>
        <w:sectPr w:rsidR="008215AB">
          <w:pgSz w:w="11910" w:h="16840"/>
          <w:pgMar w:top="1420" w:right="1320" w:bottom="1220" w:left="940" w:header="0" w:footer="1034" w:gutter="0"/>
          <w:cols w:space="720"/>
        </w:sectPr>
      </w:pPr>
    </w:p>
    <w:p w:rsidR="008215AB" w:rsidRDefault="006513FA">
      <w:pPr>
        <w:pStyle w:val="BodyText"/>
        <w:spacing w:before="78" w:line="480" w:lineRule="auto"/>
        <w:ind w:left="500"/>
      </w:pPr>
      <w:r>
        <w:t>evaluate competing bids, does not link the said criteria with the census figures of 2011.</w:t>
      </w:r>
    </w:p>
    <w:p w:rsidR="008215AB" w:rsidRDefault="008215AB">
      <w:pPr>
        <w:pStyle w:val="BodyText"/>
        <w:spacing w:before="9"/>
        <w:rPr>
          <w:sz w:val="24"/>
        </w:rPr>
      </w:pPr>
    </w:p>
    <w:p w:rsidR="008215AB" w:rsidRDefault="006513FA">
      <w:pPr>
        <w:pStyle w:val="Heading1"/>
        <w:ind w:left="500"/>
        <w:jc w:val="left"/>
      </w:pPr>
      <w:r>
        <w:t>Facts of the present appeals</w:t>
      </w:r>
    </w:p>
    <w:p w:rsidR="008215AB" w:rsidRDefault="008215AB">
      <w:pPr>
        <w:pStyle w:val="BodyText"/>
        <w:rPr>
          <w:b/>
          <w:sz w:val="28"/>
        </w:rPr>
      </w:pPr>
    </w:p>
    <w:p w:rsidR="008215AB" w:rsidRDefault="008215AB">
      <w:pPr>
        <w:pStyle w:val="BodyText"/>
        <w:spacing w:before="1"/>
        <w:rPr>
          <w:b/>
          <w:sz w:val="22"/>
        </w:rPr>
      </w:pPr>
    </w:p>
    <w:p w:rsidR="008215AB" w:rsidRDefault="006513FA">
      <w:pPr>
        <w:pStyle w:val="ListParagraph"/>
        <w:numPr>
          <w:ilvl w:val="0"/>
          <w:numId w:val="8"/>
        </w:numPr>
        <w:tabs>
          <w:tab w:val="left" w:pos="1221"/>
        </w:tabs>
        <w:spacing w:line="480" w:lineRule="auto"/>
        <w:ind w:right="114" w:firstLine="0"/>
        <w:jc w:val="both"/>
        <w:rPr>
          <w:sz w:val="25"/>
        </w:rPr>
      </w:pPr>
      <w:r>
        <w:rPr>
          <w:sz w:val="25"/>
        </w:rPr>
        <w:t>On 12 April 2018, the Board initiated the bidding process for authorisin</w:t>
      </w:r>
      <w:r>
        <w:rPr>
          <w:sz w:val="25"/>
        </w:rPr>
        <w:t>g entities to lay, build, operate or expand CGD networks for the ninth round. The bids were invited by means of an application-cum-bid-document for each GA.</w:t>
      </w:r>
      <w:r>
        <w:rPr>
          <w:sz w:val="25"/>
          <w:vertAlign w:val="superscript"/>
        </w:rPr>
        <w:t>8</w:t>
      </w:r>
      <w:r>
        <w:rPr>
          <w:sz w:val="25"/>
        </w:rPr>
        <w:t xml:space="preserve"> The bidding process covered various GAs, including those of (i) GA 51 - Puducherry District; (ii) GA – 61 Kanchipuram District; and (iii) GA 62 -Chennai- Tiruvallur.</w:t>
      </w:r>
    </w:p>
    <w:p w:rsidR="008215AB" w:rsidRDefault="008215AB">
      <w:pPr>
        <w:pStyle w:val="BodyText"/>
        <w:spacing w:before="1"/>
      </w:pPr>
    </w:p>
    <w:p w:rsidR="008215AB" w:rsidRDefault="006513FA">
      <w:pPr>
        <w:pStyle w:val="ListParagraph"/>
        <w:numPr>
          <w:ilvl w:val="0"/>
          <w:numId w:val="8"/>
        </w:numPr>
        <w:tabs>
          <w:tab w:val="left" w:pos="1221"/>
        </w:tabs>
        <w:spacing w:line="480" w:lineRule="auto"/>
        <w:ind w:right="114" w:firstLine="0"/>
        <w:jc w:val="both"/>
        <w:rPr>
          <w:sz w:val="25"/>
        </w:rPr>
      </w:pPr>
      <w:r>
        <w:rPr>
          <w:sz w:val="25"/>
        </w:rPr>
        <w:t xml:space="preserve">Clause 1.1. of the Bid Document was titled ‗Geographical area and related information‘. </w:t>
      </w:r>
      <w:r>
        <w:rPr>
          <w:sz w:val="25"/>
        </w:rPr>
        <w:t>Clause 1.1.1 stipulated that the Board had identified a GA and was accordingly inviting applications-cum-bids for the grant of authorisation for developing a CGD network in the GA. Each GA was depicted in a map at Annexure-1 of the Bid Document for the rel</w:t>
      </w:r>
      <w:r>
        <w:rPr>
          <w:sz w:val="25"/>
        </w:rPr>
        <w:t>evant GA. Under Clause 1.1.3, it was the responsibility of each bidder to obtain all information related to the present gas supply availability, pipeline connectivity and information about existing customers, if any, in the specified GA. Clause 1.1.3</w:t>
      </w:r>
      <w:r>
        <w:rPr>
          <w:spacing w:val="-5"/>
          <w:sz w:val="25"/>
        </w:rPr>
        <w:t xml:space="preserve"> </w:t>
      </w:r>
      <w:r>
        <w:rPr>
          <w:sz w:val="25"/>
        </w:rPr>
        <w:t>state</w:t>
      </w:r>
      <w:r>
        <w:rPr>
          <w:sz w:val="25"/>
        </w:rPr>
        <w:t>d:</w:t>
      </w:r>
    </w:p>
    <w:p w:rsidR="008215AB" w:rsidRDefault="006513FA">
      <w:pPr>
        <w:spacing w:before="1" w:line="276" w:lineRule="auto"/>
        <w:ind w:left="1940" w:right="1940"/>
        <w:jc w:val="both"/>
        <w:rPr>
          <w:sz w:val="21"/>
        </w:rPr>
      </w:pPr>
      <w:r>
        <w:rPr>
          <w:color w:val="212121"/>
          <w:spacing w:val="-1"/>
          <w:w w:val="33"/>
          <w:sz w:val="21"/>
        </w:rPr>
        <w:t>―</w:t>
      </w:r>
      <w:r>
        <w:rPr>
          <w:color w:val="212121"/>
          <w:sz w:val="21"/>
        </w:rPr>
        <w:t>1</w:t>
      </w:r>
      <w:r>
        <w:rPr>
          <w:color w:val="212121"/>
          <w:spacing w:val="-2"/>
          <w:sz w:val="21"/>
        </w:rPr>
        <w:t>.</w:t>
      </w:r>
      <w:r>
        <w:rPr>
          <w:color w:val="212121"/>
          <w:sz w:val="21"/>
        </w:rPr>
        <w:t>1</w:t>
      </w:r>
      <w:r>
        <w:rPr>
          <w:color w:val="212121"/>
          <w:spacing w:val="-1"/>
          <w:sz w:val="21"/>
        </w:rPr>
        <w:t>.</w:t>
      </w:r>
      <w:r>
        <w:rPr>
          <w:color w:val="212121"/>
          <w:sz w:val="21"/>
        </w:rPr>
        <w:t>3.</w:t>
      </w:r>
      <w:r>
        <w:rPr>
          <w:color w:val="212121"/>
          <w:sz w:val="21"/>
        </w:rPr>
        <w:t xml:space="preserve">  </w:t>
      </w:r>
      <w:r>
        <w:rPr>
          <w:color w:val="212121"/>
          <w:spacing w:val="-13"/>
          <w:sz w:val="21"/>
        </w:rPr>
        <w:t xml:space="preserve"> </w:t>
      </w:r>
      <w:r>
        <w:rPr>
          <w:b/>
          <w:color w:val="212121"/>
          <w:spacing w:val="-2"/>
          <w:sz w:val="21"/>
        </w:rPr>
        <w:t>I</w:t>
      </w:r>
      <w:r>
        <w:rPr>
          <w:b/>
          <w:color w:val="212121"/>
          <w:sz w:val="21"/>
        </w:rPr>
        <w:t>t</w:t>
      </w:r>
      <w:r>
        <w:rPr>
          <w:b/>
          <w:color w:val="212121"/>
          <w:sz w:val="21"/>
        </w:rPr>
        <w:t xml:space="preserve">  </w:t>
      </w:r>
      <w:r>
        <w:rPr>
          <w:b/>
          <w:color w:val="212121"/>
          <w:spacing w:val="-13"/>
          <w:sz w:val="21"/>
        </w:rPr>
        <w:t xml:space="preserve"> </w:t>
      </w:r>
      <w:r>
        <w:rPr>
          <w:b/>
          <w:color w:val="212121"/>
          <w:spacing w:val="-2"/>
          <w:sz w:val="21"/>
        </w:rPr>
        <w:t>i</w:t>
      </w:r>
      <w:r>
        <w:rPr>
          <w:b/>
          <w:color w:val="212121"/>
          <w:sz w:val="21"/>
        </w:rPr>
        <w:t>s</w:t>
      </w:r>
      <w:r>
        <w:rPr>
          <w:b/>
          <w:color w:val="212121"/>
          <w:sz w:val="21"/>
        </w:rPr>
        <w:t xml:space="preserve">  </w:t>
      </w:r>
      <w:r>
        <w:rPr>
          <w:b/>
          <w:color w:val="212121"/>
          <w:spacing w:val="-12"/>
          <w:sz w:val="21"/>
        </w:rPr>
        <w:t xml:space="preserve"> </w:t>
      </w:r>
      <w:r>
        <w:rPr>
          <w:b/>
          <w:color w:val="212121"/>
          <w:spacing w:val="-1"/>
          <w:sz w:val="21"/>
        </w:rPr>
        <w:t>t</w:t>
      </w:r>
      <w:r>
        <w:rPr>
          <w:b/>
          <w:color w:val="212121"/>
          <w:sz w:val="21"/>
        </w:rPr>
        <w:t>he</w:t>
      </w:r>
      <w:r>
        <w:rPr>
          <w:b/>
          <w:color w:val="212121"/>
          <w:sz w:val="21"/>
        </w:rPr>
        <w:t xml:space="preserve">  </w:t>
      </w:r>
      <w:r>
        <w:rPr>
          <w:b/>
          <w:color w:val="212121"/>
          <w:spacing w:val="-12"/>
          <w:sz w:val="21"/>
        </w:rPr>
        <w:t xml:space="preserve"> </w:t>
      </w:r>
      <w:r>
        <w:rPr>
          <w:b/>
          <w:color w:val="212121"/>
          <w:sz w:val="21"/>
        </w:rPr>
        <w:t>b</w:t>
      </w:r>
      <w:r>
        <w:rPr>
          <w:b/>
          <w:color w:val="212121"/>
          <w:spacing w:val="-3"/>
          <w:sz w:val="21"/>
        </w:rPr>
        <w:t>i</w:t>
      </w:r>
      <w:r>
        <w:rPr>
          <w:b/>
          <w:color w:val="212121"/>
          <w:sz w:val="21"/>
        </w:rPr>
        <w:t>d</w:t>
      </w:r>
      <w:r>
        <w:rPr>
          <w:b/>
          <w:color w:val="212121"/>
          <w:spacing w:val="-2"/>
          <w:sz w:val="21"/>
        </w:rPr>
        <w:t>d</w:t>
      </w:r>
      <w:r>
        <w:rPr>
          <w:b/>
          <w:color w:val="212121"/>
          <w:spacing w:val="-3"/>
          <w:sz w:val="21"/>
        </w:rPr>
        <w:t>e</w:t>
      </w:r>
      <w:r>
        <w:rPr>
          <w:b/>
          <w:color w:val="212121"/>
          <w:spacing w:val="-1"/>
          <w:sz w:val="21"/>
        </w:rPr>
        <w:t>r</w:t>
      </w:r>
      <w:r>
        <w:rPr>
          <w:b/>
          <w:color w:val="212121"/>
          <w:spacing w:val="-2"/>
          <w:sz w:val="21"/>
        </w:rPr>
        <w:t>’</w:t>
      </w:r>
      <w:r>
        <w:rPr>
          <w:b/>
          <w:color w:val="212121"/>
          <w:sz w:val="21"/>
        </w:rPr>
        <w:t>s</w:t>
      </w:r>
      <w:r>
        <w:rPr>
          <w:b/>
          <w:color w:val="212121"/>
          <w:sz w:val="21"/>
        </w:rPr>
        <w:t xml:space="preserve">  </w:t>
      </w:r>
      <w:r>
        <w:rPr>
          <w:b/>
          <w:color w:val="212121"/>
          <w:spacing w:val="-12"/>
          <w:sz w:val="21"/>
        </w:rPr>
        <w:t xml:space="preserve"> </w:t>
      </w:r>
      <w:r>
        <w:rPr>
          <w:b/>
          <w:color w:val="212121"/>
          <w:spacing w:val="-1"/>
          <w:sz w:val="21"/>
        </w:rPr>
        <w:t>res</w:t>
      </w:r>
      <w:r>
        <w:rPr>
          <w:b/>
          <w:color w:val="212121"/>
          <w:spacing w:val="-3"/>
          <w:sz w:val="21"/>
        </w:rPr>
        <w:t>p</w:t>
      </w:r>
      <w:r>
        <w:rPr>
          <w:b/>
          <w:color w:val="212121"/>
          <w:sz w:val="21"/>
        </w:rPr>
        <w:t>o</w:t>
      </w:r>
      <w:r>
        <w:rPr>
          <w:b/>
          <w:color w:val="212121"/>
          <w:spacing w:val="-2"/>
          <w:sz w:val="21"/>
        </w:rPr>
        <w:t>n</w:t>
      </w:r>
      <w:r>
        <w:rPr>
          <w:b/>
          <w:color w:val="212121"/>
          <w:spacing w:val="-1"/>
          <w:sz w:val="21"/>
        </w:rPr>
        <w:t>si</w:t>
      </w:r>
      <w:r>
        <w:rPr>
          <w:b/>
          <w:color w:val="212121"/>
          <w:sz w:val="21"/>
        </w:rPr>
        <w:t>bi</w:t>
      </w:r>
      <w:r>
        <w:rPr>
          <w:b/>
          <w:color w:val="212121"/>
          <w:spacing w:val="-2"/>
          <w:sz w:val="21"/>
        </w:rPr>
        <w:t>li</w:t>
      </w:r>
      <w:r>
        <w:rPr>
          <w:b/>
          <w:color w:val="212121"/>
          <w:spacing w:val="1"/>
          <w:sz w:val="21"/>
        </w:rPr>
        <w:t>t</w:t>
      </w:r>
      <w:r>
        <w:rPr>
          <w:b/>
          <w:color w:val="212121"/>
          <w:sz w:val="21"/>
        </w:rPr>
        <w:t>y</w:t>
      </w:r>
      <w:r>
        <w:rPr>
          <w:b/>
          <w:color w:val="212121"/>
          <w:sz w:val="21"/>
        </w:rPr>
        <w:t xml:space="preserve">  </w:t>
      </w:r>
      <w:r>
        <w:rPr>
          <w:b/>
          <w:color w:val="212121"/>
          <w:spacing w:val="-17"/>
          <w:sz w:val="21"/>
        </w:rPr>
        <w:t xml:space="preserve"> </w:t>
      </w:r>
      <w:r>
        <w:rPr>
          <w:b/>
          <w:color w:val="212121"/>
          <w:spacing w:val="-1"/>
          <w:sz w:val="21"/>
        </w:rPr>
        <w:t>t</w:t>
      </w:r>
      <w:r>
        <w:rPr>
          <w:b/>
          <w:color w:val="212121"/>
          <w:sz w:val="21"/>
        </w:rPr>
        <w:t>o</w:t>
      </w:r>
      <w:r>
        <w:rPr>
          <w:b/>
          <w:color w:val="212121"/>
          <w:sz w:val="21"/>
        </w:rPr>
        <w:t xml:space="preserve">  </w:t>
      </w:r>
      <w:r>
        <w:rPr>
          <w:b/>
          <w:color w:val="212121"/>
          <w:spacing w:val="-12"/>
          <w:sz w:val="21"/>
        </w:rPr>
        <w:t xml:space="preserve"> </w:t>
      </w:r>
      <w:r>
        <w:rPr>
          <w:b/>
          <w:color w:val="212121"/>
          <w:sz w:val="21"/>
        </w:rPr>
        <w:t>ob</w:t>
      </w:r>
      <w:r>
        <w:rPr>
          <w:b/>
          <w:color w:val="212121"/>
          <w:spacing w:val="-1"/>
          <w:sz w:val="21"/>
        </w:rPr>
        <w:t>tai</w:t>
      </w:r>
      <w:r>
        <w:rPr>
          <w:b/>
          <w:color w:val="212121"/>
          <w:sz w:val="21"/>
        </w:rPr>
        <w:t>n</w:t>
      </w:r>
      <w:r>
        <w:rPr>
          <w:b/>
          <w:color w:val="212121"/>
          <w:sz w:val="21"/>
        </w:rPr>
        <w:t xml:space="preserve">  </w:t>
      </w:r>
      <w:r>
        <w:rPr>
          <w:b/>
          <w:color w:val="212121"/>
          <w:spacing w:val="-12"/>
          <w:sz w:val="21"/>
        </w:rPr>
        <w:t xml:space="preserve"> </w:t>
      </w:r>
      <w:r>
        <w:rPr>
          <w:b/>
          <w:color w:val="212121"/>
          <w:spacing w:val="-1"/>
          <w:sz w:val="21"/>
        </w:rPr>
        <w:t>al</w:t>
      </w:r>
      <w:r>
        <w:rPr>
          <w:b/>
          <w:color w:val="212121"/>
          <w:sz w:val="21"/>
        </w:rPr>
        <w:t xml:space="preserve">l </w:t>
      </w:r>
      <w:r>
        <w:rPr>
          <w:b/>
          <w:color w:val="212121"/>
          <w:sz w:val="21"/>
        </w:rPr>
        <w:t xml:space="preserve">information related to the </w:t>
      </w:r>
      <w:r>
        <w:rPr>
          <w:b/>
          <w:color w:val="212121"/>
          <w:sz w:val="21"/>
          <w:u w:val="thick" w:color="212121"/>
        </w:rPr>
        <w:t>present</w:t>
      </w:r>
      <w:r>
        <w:rPr>
          <w:b/>
          <w:color w:val="212121"/>
          <w:sz w:val="21"/>
        </w:rPr>
        <w:t xml:space="preserve"> gas supply availability and pipeline connectivity and also existing customers, if any, in the specified geographical area. </w:t>
      </w:r>
      <w:r>
        <w:rPr>
          <w:color w:val="212121"/>
          <w:sz w:val="21"/>
        </w:rPr>
        <w:t>The bidder can also refer to list of NOCs/Permissions granted by PNGRB to various entities under the provisions of the Internal Guidelines for grant of NOC/Permission for (i) supply/distribution of CBM/natural gas through cascades; and (ii) setting up of C</w:t>
      </w:r>
      <w:r>
        <w:rPr>
          <w:color w:val="212121"/>
          <w:sz w:val="21"/>
        </w:rPr>
        <w:t>NG/LNG Daughter Booster Stations (DBS), in the areas where the Board has not yet authorized any entity</w:t>
      </w:r>
      <w:r>
        <w:rPr>
          <w:color w:val="212121"/>
          <w:spacing w:val="5"/>
          <w:sz w:val="21"/>
        </w:rPr>
        <w:t xml:space="preserve"> </w:t>
      </w:r>
      <w:r>
        <w:rPr>
          <w:color w:val="212121"/>
          <w:sz w:val="21"/>
        </w:rPr>
        <w:t>for</w:t>
      </w:r>
    </w:p>
    <w:p w:rsidR="008215AB" w:rsidRDefault="008215AB">
      <w:pPr>
        <w:pStyle w:val="BodyText"/>
        <w:spacing w:before="10"/>
        <w:rPr>
          <w:sz w:val="15"/>
        </w:rPr>
      </w:pPr>
      <w:r w:rsidRPr="008215AB">
        <w:pict>
          <v:rect id="_x0000_s2056" style="position:absolute;margin-left:1in;margin-top:11.05pt;width:2in;height:.6pt;z-index:-15726080;mso-wrap-distance-left:0;mso-wrap-distance-right:0;mso-position-horizontal-relative:page" fillcolor="black" stroked="f">
            <w10:wrap type="topAndBottom" anchorx="page"/>
          </v:rect>
        </w:pict>
      </w:r>
    </w:p>
    <w:p w:rsidR="008215AB" w:rsidRDefault="006513FA">
      <w:pPr>
        <w:spacing w:before="80"/>
        <w:ind w:left="500"/>
        <w:rPr>
          <w:sz w:val="18"/>
        </w:rPr>
      </w:pPr>
      <w:r>
        <w:rPr>
          <w:sz w:val="18"/>
          <w:vertAlign w:val="superscript"/>
        </w:rPr>
        <w:t>8</w:t>
      </w:r>
      <w:r>
        <w:rPr>
          <w:sz w:val="18"/>
        </w:rPr>
        <w:t xml:space="preserve"> With respect to the relevant GA, ―Bid Document‖</w:t>
      </w:r>
    </w:p>
    <w:p w:rsidR="008215AB" w:rsidRDefault="008215AB">
      <w:pPr>
        <w:rPr>
          <w:sz w:val="18"/>
        </w:rPr>
        <w:sectPr w:rsidR="008215AB">
          <w:footerReference w:type="default" r:id="rId10"/>
          <w:pgSz w:w="11910" w:h="16840"/>
          <w:pgMar w:top="1340" w:right="1320" w:bottom="1220" w:left="940" w:header="0" w:footer="1034" w:gutter="0"/>
          <w:pgNumType w:start="14"/>
          <w:cols w:space="720"/>
        </w:sectPr>
      </w:pPr>
    </w:p>
    <w:p w:rsidR="008215AB" w:rsidRDefault="006513FA">
      <w:pPr>
        <w:spacing w:before="76" w:line="276" w:lineRule="auto"/>
        <w:ind w:left="1940" w:right="1943"/>
        <w:jc w:val="both"/>
        <w:rPr>
          <w:sz w:val="21"/>
        </w:rPr>
      </w:pPr>
      <w:r>
        <w:rPr>
          <w:color w:val="212121"/>
          <w:sz w:val="21"/>
        </w:rPr>
        <w:t xml:space="preserve">developing or operating CGD networks at </w:t>
      </w:r>
      <w:hyperlink r:id="rId11">
        <w:r>
          <w:rPr>
            <w:color w:val="212121"/>
            <w:sz w:val="21"/>
          </w:rPr>
          <w:t>http://www.pngrb.gov.in/CGD-NOCs.html.‖</w:t>
        </w:r>
      </w:hyperlink>
    </w:p>
    <w:p w:rsidR="008215AB" w:rsidRDefault="006513FA">
      <w:pPr>
        <w:spacing w:before="2"/>
        <w:ind w:left="5707"/>
      </w:pPr>
      <w:r>
        <w:t>(Emphasis supplied)</w:t>
      </w:r>
    </w:p>
    <w:p w:rsidR="008215AB" w:rsidRDefault="008215AB">
      <w:pPr>
        <w:pStyle w:val="BodyText"/>
        <w:rPr>
          <w:sz w:val="24"/>
        </w:rPr>
      </w:pPr>
    </w:p>
    <w:p w:rsidR="008215AB" w:rsidRDefault="008215AB">
      <w:pPr>
        <w:pStyle w:val="BodyText"/>
        <w:rPr>
          <w:sz w:val="24"/>
        </w:rPr>
      </w:pPr>
    </w:p>
    <w:p w:rsidR="008215AB" w:rsidRDefault="006513FA">
      <w:pPr>
        <w:pStyle w:val="BodyText"/>
        <w:spacing w:before="146"/>
        <w:ind w:left="500"/>
      </w:pPr>
      <w:r>
        <w:t>The scope of work was defined in Clause 1.2 of the Bid Document:</w:t>
      </w:r>
    </w:p>
    <w:p w:rsidR="008215AB" w:rsidRDefault="008215AB">
      <w:pPr>
        <w:pStyle w:val="BodyText"/>
      </w:pPr>
    </w:p>
    <w:p w:rsidR="008215AB" w:rsidRDefault="006513FA">
      <w:pPr>
        <w:spacing w:before="1" w:line="276" w:lineRule="auto"/>
        <w:ind w:left="1940" w:right="1941"/>
        <w:jc w:val="both"/>
        <w:rPr>
          <w:sz w:val="21"/>
        </w:rPr>
      </w:pPr>
      <w:r>
        <w:rPr>
          <w:color w:val="212121"/>
          <w:spacing w:val="-1"/>
          <w:w w:val="33"/>
          <w:sz w:val="21"/>
        </w:rPr>
        <w:t>―</w:t>
      </w:r>
      <w:r>
        <w:rPr>
          <w:color w:val="212121"/>
          <w:sz w:val="21"/>
        </w:rPr>
        <w:t>The</w:t>
      </w:r>
      <w:r>
        <w:rPr>
          <w:color w:val="212121"/>
          <w:sz w:val="21"/>
        </w:rPr>
        <w:t xml:space="preserve"> </w:t>
      </w:r>
      <w:r>
        <w:rPr>
          <w:color w:val="212121"/>
          <w:spacing w:val="-14"/>
          <w:sz w:val="21"/>
        </w:rPr>
        <w:t xml:space="preserve"> </w:t>
      </w:r>
      <w:r>
        <w:rPr>
          <w:color w:val="212121"/>
          <w:spacing w:val="-3"/>
          <w:sz w:val="21"/>
        </w:rPr>
        <w:t>e</w:t>
      </w:r>
      <w:r>
        <w:rPr>
          <w:color w:val="212121"/>
          <w:sz w:val="21"/>
        </w:rPr>
        <w:t>n</w:t>
      </w:r>
      <w:r>
        <w:rPr>
          <w:color w:val="212121"/>
          <w:spacing w:val="-1"/>
          <w:sz w:val="21"/>
        </w:rPr>
        <w:t>t</w:t>
      </w:r>
      <w:r>
        <w:rPr>
          <w:color w:val="212121"/>
          <w:sz w:val="21"/>
        </w:rPr>
        <w:t>i</w:t>
      </w:r>
      <w:r>
        <w:rPr>
          <w:color w:val="212121"/>
          <w:spacing w:val="-2"/>
          <w:sz w:val="21"/>
        </w:rPr>
        <w:t>ti</w:t>
      </w:r>
      <w:r>
        <w:rPr>
          <w:color w:val="212121"/>
          <w:sz w:val="21"/>
        </w:rPr>
        <w:t>es</w:t>
      </w:r>
      <w:r>
        <w:rPr>
          <w:color w:val="212121"/>
          <w:sz w:val="21"/>
        </w:rPr>
        <w:t xml:space="preserve"> </w:t>
      </w:r>
      <w:r>
        <w:rPr>
          <w:color w:val="212121"/>
          <w:spacing w:val="-14"/>
          <w:sz w:val="21"/>
        </w:rPr>
        <w:t xml:space="preserve"> </w:t>
      </w:r>
      <w:r>
        <w:rPr>
          <w:color w:val="212121"/>
          <w:spacing w:val="-3"/>
          <w:sz w:val="21"/>
        </w:rPr>
        <w:t>b</w:t>
      </w:r>
      <w:r>
        <w:rPr>
          <w:color w:val="212121"/>
          <w:sz w:val="21"/>
        </w:rPr>
        <w:t>id</w:t>
      </w:r>
      <w:r>
        <w:rPr>
          <w:color w:val="212121"/>
          <w:spacing w:val="-3"/>
          <w:sz w:val="21"/>
        </w:rPr>
        <w:t>d</w:t>
      </w:r>
      <w:r>
        <w:rPr>
          <w:color w:val="212121"/>
          <w:sz w:val="21"/>
        </w:rPr>
        <w:t>i</w:t>
      </w:r>
      <w:r>
        <w:rPr>
          <w:color w:val="212121"/>
          <w:spacing w:val="-3"/>
          <w:sz w:val="21"/>
        </w:rPr>
        <w:t>n</w:t>
      </w:r>
      <w:r>
        <w:rPr>
          <w:color w:val="212121"/>
          <w:sz w:val="21"/>
        </w:rPr>
        <w:t>g</w:t>
      </w:r>
      <w:r>
        <w:rPr>
          <w:color w:val="212121"/>
          <w:sz w:val="21"/>
        </w:rPr>
        <w:t xml:space="preserve"> </w:t>
      </w:r>
      <w:r>
        <w:rPr>
          <w:color w:val="212121"/>
          <w:spacing w:val="-14"/>
          <w:sz w:val="21"/>
        </w:rPr>
        <w:t xml:space="preserve"> </w:t>
      </w:r>
      <w:r>
        <w:rPr>
          <w:color w:val="212121"/>
          <w:spacing w:val="-2"/>
          <w:sz w:val="21"/>
        </w:rPr>
        <w:t>f</w:t>
      </w:r>
      <w:r>
        <w:rPr>
          <w:color w:val="212121"/>
          <w:sz w:val="21"/>
        </w:rPr>
        <w:t>or</w:t>
      </w:r>
      <w:r>
        <w:rPr>
          <w:color w:val="212121"/>
          <w:sz w:val="21"/>
        </w:rPr>
        <w:t xml:space="preserve"> </w:t>
      </w:r>
      <w:r>
        <w:rPr>
          <w:color w:val="212121"/>
          <w:spacing w:val="-15"/>
          <w:sz w:val="21"/>
        </w:rPr>
        <w:t xml:space="preserve"> </w:t>
      </w:r>
      <w:r>
        <w:rPr>
          <w:color w:val="212121"/>
          <w:spacing w:val="-2"/>
          <w:sz w:val="21"/>
        </w:rPr>
        <w:t>t</w:t>
      </w:r>
      <w:r>
        <w:rPr>
          <w:color w:val="212121"/>
          <w:sz w:val="21"/>
        </w:rPr>
        <w:t>h</w:t>
      </w:r>
      <w:r>
        <w:rPr>
          <w:color w:val="212121"/>
          <w:spacing w:val="1"/>
          <w:sz w:val="21"/>
        </w:rPr>
        <w:t>i</w:t>
      </w:r>
      <w:r>
        <w:rPr>
          <w:color w:val="212121"/>
          <w:sz w:val="21"/>
        </w:rPr>
        <w:t>s</w:t>
      </w:r>
      <w:r>
        <w:rPr>
          <w:color w:val="212121"/>
          <w:sz w:val="21"/>
        </w:rPr>
        <w:t xml:space="preserve"> </w:t>
      </w:r>
      <w:r>
        <w:rPr>
          <w:color w:val="212121"/>
          <w:spacing w:val="-14"/>
          <w:sz w:val="21"/>
        </w:rPr>
        <w:t xml:space="preserve"> </w:t>
      </w:r>
      <w:r>
        <w:rPr>
          <w:color w:val="212121"/>
          <w:spacing w:val="-2"/>
          <w:sz w:val="21"/>
        </w:rPr>
        <w:t>w</w:t>
      </w:r>
      <w:r>
        <w:rPr>
          <w:color w:val="212121"/>
          <w:sz w:val="21"/>
        </w:rPr>
        <w:t>o</w:t>
      </w:r>
      <w:r>
        <w:rPr>
          <w:color w:val="212121"/>
          <w:spacing w:val="-3"/>
          <w:sz w:val="21"/>
        </w:rPr>
        <w:t>r</w:t>
      </w:r>
      <w:r>
        <w:rPr>
          <w:color w:val="212121"/>
          <w:sz w:val="21"/>
        </w:rPr>
        <w:t>k</w:t>
      </w:r>
      <w:r>
        <w:rPr>
          <w:color w:val="212121"/>
          <w:sz w:val="21"/>
        </w:rPr>
        <w:t xml:space="preserve"> </w:t>
      </w:r>
      <w:r>
        <w:rPr>
          <w:color w:val="212121"/>
          <w:spacing w:val="-12"/>
          <w:sz w:val="21"/>
        </w:rPr>
        <w:t xml:space="preserve"> </w:t>
      </w:r>
      <w:r>
        <w:rPr>
          <w:color w:val="212121"/>
          <w:spacing w:val="-3"/>
          <w:sz w:val="21"/>
        </w:rPr>
        <w:t>s</w:t>
      </w:r>
      <w:r>
        <w:rPr>
          <w:color w:val="212121"/>
          <w:sz w:val="21"/>
        </w:rPr>
        <w:t>ha</w:t>
      </w:r>
      <w:r>
        <w:rPr>
          <w:color w:val="212121"/>
          <w:spacing w:val="-1"/>
          <w:sz w:val="21"/>
        </w:rPr>
        <w:t>l</w:t>
      </w:r>
      <w:r>
        <w:rPr>
          <w:color w:val="212121"/>
          <w:sz w:val="21"/>
        </w:rPr>
        <w:t>l</w:t>
      </w:r>
      <w:r>
        <w:rPr>
          <w:color w:val="212121"/>
          <w:sz w:val="21"/>
        </w:rPr>
        <w:t xml:space="preserve"> </w:t>
      </w:r>
      <w:r>
        <w:rPr>
          <w:color w:val="212121"/>
          <w:spacing w:val="-13"/>
          <w:sz w:val="21"/>
        </w:rPr>
        <w:t xml:space="preserve"> </w:t>
      </w:r>
      <w:r>
        <w:rPr>
          <w:color w:val="212121"/>
          <w:spacing w:val="-3"/>
          <w:sz w:val="21"/>
        </w:rPr>
        <w:t>b</w:t>
      </w:r>
      <w:r>
        <w:rPr>
          <w:color w:val="212121"/>
          <w:sz w:val="21"/>
        </w:rPr>
        <w:t>e</w:t>
      </w:r>
      <w:r>
        <w:rPr>
          <w:color w:val="212121"/>
          <w:sz w:val="21"/>
        </w:rPr>
        <w:t xml:space="preserve"> </w:t>
      </w:r>
      <w:r>
        <w:rPr>
          <w:color w:val="212121"/>
          <w:spacing w:val="-14"/>
          <w:sz w:val="21"/>
        </w:rPr>
        <w:t xml:space="preserve"> </w:t>
      </w:r>
      <w:r>
        <w:rPr>
          <w:color w:val="212121"/>
          <w:spacing w:val="-1"/>
          <w:sz w:val="21"/>
        </w:rPr>
        <w:t>r</w:t>
      </w:r>
      <w:r>
        <w:rPr>
          <w:color w:val="212121"/>
          <w:sz w:val="21"/>
        </w:rPr>
        <w:t>e</w:t>
      </w:r>
      <w:r>
        <w:rPr>
          <w:color w:val="212121"/>
          <w:spacing w:val="-3"/>
          <w:sz w:val="21"/>
        </w:rPr>
        <w:t>q</w:t>
      </w:r>
      <w:r>
        <w:rPr>
          <w:color w:val="212121"/>
          <w:sz w:val="21"/>
        </w:rPr>
        <w:t>u</w:t>
      </w:r>
      <w:r>
        <w:rPr>
          <w:color w:val="212121"/>
          <w:spacing w:val="1"/>
          <w:sz w:val="21"/>
        </w:rPr>
        <w:t>i</w:t>
      </w:r>
      <w:r>
        <w:rPr>
          <w:color w:val="212121"/>
          <w:spacing w:val="-4"/>
          <w:sz w:val="21"/>
        </w:rPr>
        <w:t>r</w:t>
      </w:r>
      <w:r>
        <w:rPr>
          <w:color w:val="212121"/>
          <w:sz w:val="21"/>
        </w:rPr>
        <w:t>ed</w:t>
      </w:r>
      <w:r>
        <w:rPr>
          <w:color w:val="212121"/>
          <w:sz w:val="21"/>
        </w:rPr>
        <w:t xml:space="preserve"> </w:t>
      </w:r>
      <w:r>
        <w:rPr>
          <w:color w:val="212121"/>
          <w:spacing w:val="-14"/>
          <w:sz w:val="21"/>
        </w:rPr>
        <w:t xml:space="preserve"> </w:t>
      </w:r>
      <w:r>
        <w:rPr>
          <w:color w:val="212121"/>
          <w:spacing w:val="-2"/>
          <w:sz w:val="21"/>
        </w:rPr>
        <w:t>t</w:t>
      </w:r>
      <w:r>
        <w:rPr>
          <w:color w:val="212121"/>
          <w:sz w:val="21"/>
        </w:rPr>
        <w:t>o</w:t>
      </w:r>
      <w:r>
        <w:rPr>
          <w:color w:val="212121"/>
          <w:sz w:val="21"/>
        </w:rPr>
        <w:t xml:space="preserve"> </w:t>
      </w:r>
      <w:r>
        <w:rPr>
          <w:color w:val="212121"/>
          <w:spacing w:val="-14"/>
          <w:sz w:val="21"/>
        </w:rPr>
        <w:t xml:space="preserve"> </w:t>
      </w:r>
      <w:r>
        <w:rPr>
          <w:color w:val="212121"/>
          <w:spacing w:val="-2"/>
          <w:sz w:val="21"/>
        </w:rPr>
        <w:t>l</w:t>
      </w:r>
      <w:r>
        <w:rPr>
          <w:color w:val="212121"/>
          <w:sz w:val="21"/>
        </w:rPr>
        <w:t>a</w:t>
      </w:r>
      <w:r>
        <w:rPr>
          <w:color w:val="212121"/>
          <w:spacing w:val="-3"/>
          <w:sz w:val="21"/>
        </w:rPr>
        <w:t>y</w:t>
      </w:r>
      <w:r>
        <w:rPr>
          <w:color w:val="212121"/>
          <w:sz w:val="21"/>
        </w:rPr>
        <w:t xml:space="preserve">, </w:t>
      </w:r>
      <w:r>
        <w:rPr>
          <w:color w:val="212121"/>
          <w:sz w:val="21"/>
        </w:rPr>
        <w:t>build, operate or expand the CGD networks to meet requirement of natural gas in domestic, commercial and industrial segments including Natural Gas in the vehicular segment in the said geographical area to be authorized and also comply with the relevant reg</w:t>
      </w:r>
      <w:r>
        <w:rPr>
          <w:color w:val="212121"/>
          <w:sz w:val="21"/>
        </w:rPr>
        <w:t>ulations notified from time to time.</w:t>
      </w:r>
    </w:p>
    <w:p w:rsidR="008215AB" w:rsidRDefault="006513FA">
      <w:pPr>
        <w:spacing w:line="276" w:lineRule="auto"/>
        <w:ind w:left="1940" w:right="1946"/>
        <w:jc w:val="both"/>
        <w:rPr>
          <w:sz w:val="21"/>
        </w:rPr>
      </w:pPr>
      <w:r>
        <w:rPr>
          <w:color w:val="212121"/>
          <w:sz w:val="21"/>
        </w:rPr>
        <w:t>The entities shall be required to carry out the development of CGD project in line with the regulations laid down by the PNGRB.‖</w:t>
      </w:r>
    </w:p>
    <w:p w:rsidR="008215AB" w:rsidRDefault="008215AB">
      <w:pPr>
        <w:pStyle w:val="BodyText"/>
        <w:rPr>
          <w:sz w:val="24"/>
        </w:rPr>
      </w:pPr>
    </w:p>
    <w:p w:rsidR="008215AB" w:rsidRDefault="008215AB">
      <w:pPr>
        <w:pStyle w:val="BodyText"/>
        <w:spacing w:before="3"/>
        <w:rPr>
          <w:sz w:val="24"/>
        </w:rPr>
      </w:pPr>
    </w:p>
    <w:p w:rsidR="008215AB" w:rsidRDefault="006513FA">
      <w:pPr>
        <w:pStyle w:val="ListParagraph"/>
        <w:numPr>
          <w:ilvl w:val="0"/>
          <w:numId w:val="8"/>
        </w:numPr>
        <w:tabs>
          <w:tab w:val="left" w:pos="1221"/>
        </w:tabs>
        <w:spacing w:line="480" w:lineRule="auto"/>
        <w:ind w:right="113" w:firstLine="0"/>
        <w:jc w:val="both"/>
        <w:rPr>
          <w:sz w:val="25"/>
        </w:rPr>
      </w:pPr>
      <w:r>
        <w:rPr>
          <w:sz w:val="25"/>
        </w:rPr>
        <w:t>Clause 2.1.1 required the bidders to examine the contents of the Bid Document and the re</w:t>
      </w:r>
      <w:r>
        <w:rPr>
          <w:sz w:val="25"/>
        </w:rPr>
        <w:t>gulations of the Board. Clause 2.1.2 described Annexure-1 as the map depicting the GA and charge areas. Under Clause 2.2.1, any clarifications were required to be obtained from the Secretary of the Board on or before the bid closing date. Clause 4.2 stipul</w:t>
      </w:r>
      <w:r>
        <w:rPr>
          <w:sz w:val="25"/>
        </w:rPr>
        <w:t>ated that all financial bids would be tabulated and compared in accordance with the bidding criteria specified in Regulation 7 and Schedule-C(1) of the CGD Authorisation Regulations. Moreover, the bidder with the highest composite score would be declared a</w:t>
      </w:r>
      <w:r>
        <w:rPr>
          <w:sz w:val="25"/>
        </w:rPr>
        <w:t xml:space="preserve">s successful in the bid. Under Clause 4.4 of the Bid Document, the Board reserved </w:t>
      </w:r>
      <w:r>
        <w:rPr>
          <w:w w:val="99"/>
          <w:sz w:val="25"/>
        </w:rPr>
        <w:t>the</w:t>
      </w:r>
      <w:r>
        <w:rPr>
          <w:spacing w:val="13"/>
          <w:sz w:val="25"/>
        </w:rPr>
        <w:t xml:space="preserve"> </w:t>
      </w:r>
      <w:r>
        <w:rPr>
          <w:w w:val="99"/>
          <w:sz w:val="25"/>
        </w:rPr>
        <w:t>r</w:t>
      </w:r>
      <w:r>
        <w:rPr>
          <w:spacing w:val="-1"/>
          <w:w w:val="99"/>
          <w:sz w:val="25"/>
        </w:rPr>
        <w:t>igh</w:t>
      </w:r>
      <w:r>
        <w:rPr>
          <w:w w:val="99"/>
          <w:sz w:val="25"/>
        </w:rPr>
        <w:t>t</w:t>
      </w:r>
      <w:r>
        <w:rPr>
          <w:spacing w:val="12"/>
          <w:sz w:val="25"/>
        </w:rPr>
        <w:t xml:space="preserve"> </w:t>
      </w:r>
      <w:r>
        <w:rPr>
          <w:w w:val="99"/>
          <w:sz w:val="25"/>
        </w:rPr>
        <w:t>to</w:t>
      </w:r>
      <w:r>
        <w:rPr>
          <w:spacing w:val="12"/>
          <w:sz w:val="25"/>
        </w:rPr>
        <w:t xml:space="preserve"> </w:t>
      </w:r>
      <w:r>
        <w:rPr>
          <w:spacing w:val="-1"/>
          <w:w w:val="99"/>
          <w:sz w:val="25"/>
        </w:rPr>
        <w:t>acc</w:t>
      </w:r>
      <w:r>
        <w:rPr>
          <w:w w:val="99"/>
          <w:sz w:val="25"/>
        </w:rPr>
        <w:t>e</w:t>
      </w:r>
      <w:r>
        <w:rPr>
          <w:spacing w:val="-1"/>
          <w:w w:val="99"/>
          <w:sz w:val="25"/>
        </w:rPr>
        <w:t>p</w:t>
      </w:r>
      <w:r>
        <w:rPr>
          <w:w w:val="99"/>
          <w:sz w:val="25"/>
        </w:rPr>
        <w:t>t</w:t>
      </w:r>
      <w:r>
        <w:rPr>
          <w:spacing w:val="12"/>
          <w:sz w:val="25"/>
        </w:rPr>
        <w:t xml:space="preserve"> </w:t>
      </w:r>
      <w:r>
        <w:rPr>
          <w:spacing w:val="-1"/>
          <w:w w:val="99"/>
          <w:sz w:val="25"/>
        </w:rPr>
        <w:t>o</w:t>
      </w:r>
      <w:r>
        <w:rPr>
          <w:w w:val="99"/>
          <w:sz w:val="25"/>
        </w:rPr>
        <w:t>r</w:t>
      </w:r>
      <w:r>
        <w:rPr>
          <w:spacing w:val="10"/>
          <w:sz w:val="25"/>
        </w:rPr>
        <w:t xml:space="preserve"> </w:t>
      </w:r>
      <w:r>
        <w:rPr>
          <w:w w:val="99"/>
          <w:sz w:val="25"/>
        </w:rPr>
        <w:t>r</w:t>
      </w:r>
      <w:r>
        <w:rPr>
          <w:spacing w:val="-1"/>
          <w:w w:val="99"/>
          <w:sz w:val="25"/>
        </w:rPr>
        <w:t>ejec</w:t>
      </w:r>
      <w:r>
        <w:rPr>
          <w:w w:val="99"/>
          <w:sz w:val="25"/>
        </w:rPr>
        <w:t>t</w:t>
      </w:r>
      <w:r>
        <w:rPr>
          <w:spacing w:val="12"/>
          <w:sz w:val="25"/>
        </w:rPr>
        <w:t xml:space="preserve"> </w:t>
      </w:r>
      <w:r>
        <w:rPr>
          <w:spacing w:val="-1"/>
          <w:w w:val="99"/>
          <w:sz w:val="25"/>
        </w:rPr>
        <w:t>a</w:t>
      </w:r>
      <w:r>
        <w:rPr>
          <w:w w:val="99"/>
          <w:sz w:val="25"/>
        </w:rPr>
        <w:t>ny</w:t>
      </w:r>
      <w:r>
        <w:rPr>
          <w:spacing w:val="9"/>
          <w:sz w:val="25"/>
        </w:rPr>
        <w:t xml:space="preserve"> </w:t>
      </w:r>
      <w:r>
        <w:rPr>
          <w:spacing w:val="-1"/>
          <w:w w:val="99"/>
          <w:sz w:val="25"/>
        </w:rPr>
        <w:t>bi</w:t>
      </w:r>
      <w:r>
        <w:rPr>
          <w:w w:val="99"/>
          <w:sz w:val="25"/>
        </w:rPr>
        <w:t>d</w:t>
      </w:r>
      <w:r>
        <w:rPr>
          <w:spacing w:val="12"/>
          <w:sz w:val="25"/>
        </w:rPr>
        <w:t xml:space="preserve"> </w:t>
      </w:r>
      <w:r>
        <w:rPr>
          <w:spacing w:val="-1"/>
          <w:w w:val="99"/>
          <w:sz w:val="25"/>
        </w:rPr>
        <w:t>whic</w:t>
      </w:r>
      <w:r>
        <w:rPr>
          <w:w w:val="99"/>
          <w:sz w:val="25"/>
        </w:rPr>
        <w:t>h</w:t>
      </w:r>
      <w:r>
        <w:rPr>
          <w:spacing w:val="14"/>
          <w:sz w:val="25"/>
        </w:rPr>
        <w:t xml:space="preserve"> </w:t>
      </w:r>
      <w:r>
        <w:rPr>
          <w:spacing w:val="-1"/>
          <w:w w:val="99"/>
          <w:sz w:val="25"/>
        </w:rPr>
        <w:t>i</w:t>
      </w:r>
      <w:r>
        <w:rPr>
          <w:w w:val="99"/>
          <w:sz w:val="25"/>
        </w:rPr>
        <w:t>t</w:t>
      </w:r>
      <w:r>
        <w:rPr>
          <w:spacing w:val="14"/>
          <w:sz w:val="25"/>
        </w:rPr>
        <w:t xml:space="preserve"> </w:t>
      </w:r>
      <w:r>
        <w:rPr>
          <w:w w:val="99"/>
          <w:sz w:val="25"/>
        </w:rPr>
        <w:t>conside</w:t>
      </w:r>
      <w:r>
        <w:rPr>
          <w:spacing w:val="1"/>
          <w:w w:val="99"/>
          <w:sz w:val="25"/>
        </w:rPr>
        <w:t>r</w:t>
      </w:r>
      <w:r>
        <w:rPr>
          <w:spacing w:val="-1"/>
          <w:w w:val="99"/>
          <w:sz w:val="25"/>
        </w:rPr>
        <w:t>e</w:t>
      </w:r>
      <w:r>
        <w:rPr>
          <w:w w:val="99"/>
          <w:sz w:val="25"/>
        </w:rPr>
        <w:t>d</w:t>
      </w:r>
      <w:r>
        <w:rPr>
          <w:spacing w:val="12"/>
          <w:sz w:val="25"/>
        </w:rPr>
        <w:t xml:space="preserve"> </w:t>
      </w:r>
      <w:r>
        <w:rPr>
          <w:w w:val="99"/>
          <w:sz w:val="25"/>
        </w:rPr>
        <w:t>to</w:t>
      </w:r>
      <w:r>
        <w:rPr>
          <w:spacing w:val="12"/>
          <w:sz w:val="25"/>
        </w:rPr>
        <w:t xml:space="preserve"> </w:t>
      </w:r>
      <w:r>
        <w:rPr>
          <w:spacing w:val="-1"/>
          <w:w w:val="99"/>
          <w:sz w:val="25"/>
        </w:rPr>
        <w:t>b</w:t>
      </w:r>
      <w:r>
        <w:rPr>
          <w:w w:val="99"/>
          <w:sz w:val="25"/>
        </w:rPr>
        <w:t>e</w:t>
      </w:r>
      <w:r>
        <w:rPr>
          <w:spacing w:val="12"/>
          <w:sz w:val="25"/>
        </w:rPr>
        <w:t xml:space="preserve"> </w:t>
      </w:r>
      <w:r>
        <w:rPr>
          <w:w w:val="33"/>
          <w:sz w:val="25"/>
        </w:rPr>
        <w:t>―</w:t>
      </w:r>
      <w:r>
        <w:rPr>
          <w:spacing w:val="-1"/>
          <w:w w:val="99"/>
          <w:sz w:val="25"/>
        </w:rPr>
        <w:t>u</w:t>
      </w:r>
      <w:r>
        <w:rPr>
          <w:spacing w:val="-2"/>
          <w:w w:val="99"/>
          <w:sz w:val="25"/>
        </w:rPr>
        <w:t>n</w:t>
      </w:r>
      <w:r>
        <w:rPr>
          <w:w w:val="99"/>
          <w:sz w:val="25"/>
        </w:rPr>
        <w:t>r</w:t>
      </w:r>
      <w:r>
        <w:rPr>
          <w:spacing w:val="-1"/>
          <w:w w:val="99"/>
          <w:sz w:val="25"/>
        </w:rPr>
        <w:t>e</w:t>
      </w:r>
      <w:r>
        <w:rPr>
          <w:w w:val="99"/>
          <w:sz w:val="25"/>
        </w:rPr>
        <w:t>ason</w:t>
      </w:r>
      <w:r>
        <w:rPr>
          <w:spacing w:val="-1"/>
          <w:w w:val="99"/>
          <w:sz w:val="25"/>
        </w:rPr>
        <w:t>a</w:t>
      </w:r>
      <w:r>
        <w:rPr>
          <w:w w:val="99"/>
          <w:sz w:val="25"/>
        </w:rPr>
        <w:t>b</w:t>
      </w:r>
      <w:r>
        <w:rPr>
          <w:spacing w:val="-1"/>
          <w:w w:val="99"/>
          <w:sz w:val="25"/>
        </w:rPr>
        <w:t>l</w:t>
      </w:r>
      <w:r>
        <w:rPr>
          <w:w w:val="99"/>
          <w:sz w:val="25"/>
        </w:rPr>
        <w:t>y</w:t>
      </w:r>
      <w:r>
        <w:rPr>
          <w:spacing w:val="9"/>
          <w:sz w:val="25"/>
        </w:rPr>
        <w:t xml:space="preserve"> </w:t>
      </w:r>
      <w:r>
        <w:rPr>
          <w:spacing w:val="-1"/>
          <w:w w:val="99"/>
          <w:sz w:val="25"/>
        </w:rPr>
        <w:t xml:space="preserve">high </w:t>
      </w:r>
      <w:r>
        <w:rPr>
          <w:sz w:val="25"/>
        </w:rPr>
        <w:t>or</w:t>
      </w:r>
      <w:r>
        <w:rPr>
          <w:spacing w:val="-1"/>
          <w:sz w:val="25"/>
        </w:rPr>
        <w:t xml:space="preserve"> </w:t>
      </w:r>
      <w:r>
        <w:rPr>
          <w:sz w:val="25"/>
        </w:rPr>
        <w:t>low‖:</w:t>
      </w:r>
    </w:p>
    <w:p w:rsidR="008215AB" w:rsidRDefault="006513FA">
      <w:pPr>
        <w:spacing w:line="276" w:lineRule="auto"/>
        <w:ind w:left="1940" w:right="1946"/>
        <w:jc w:val="both"/>
        <w:rPr>
          <w:b/>
          <w:sz w:val="21"/>
        </w:rPr>
      </w:pPr>
      <w:r>
        <w:rPr>
          <w:color w:val="212121"/>
          <w:spacing w:val="-1"/>
          <w:w w:val="33"/>
          <w:sz w:val="21"/>
        </w:rPr>
        <w:t>―</w:t>
      </w:r>
      <w:r>
        <w:rPr>
          <w:b/>
          <w:color w:val="212121"/>
          <w:sz w:val="21"/>
        </w:rPr>
        <w:t>4</w:t>
      </w:r>
      <w:r>
        <w:rPr>
          <w:b/>
          <w:color w:val="212121"/>
          <w:spacing w:val="-1"/>
          <w:sz w:val="21"/>
        </w:rPr>
        <w:t>.</w:t>
      </w:r>
      <w:r>
        <w:rPr>
          <w:b/>
          <w:color w:val="212121"/>
          <w:sz w:val="21"/>
        </w:rPr>
        <w:t>4</w:t>
      </w:r>
      <w:r>
        <w:rPr>
          <w:b/>
          <w:color w:val="212121"/>
          <w:sz w:val="21"/>
        </w:rPr>
        <w:t xml:space="preserve"> </w:t>
      </w:r>
      <w:r>
        <w:rPr>
          <w:b/>
          <w:color w:val="212121"/>
          <w:spacing w:val="-24"/>
          <w:sz w:val="21"/>
        </w:rPr>
        <w:t xml:space="preserve"> </w:t>
      </w:r>
      <w:r>
        <w:rPr>
          <w:b/>
          <w:color w:val="212121"/>
          <w:spacing w:val="-2"/>
          <w:sz w:val="21"/>
        </w:rPr>
        <w:t>PN</w:t>
      </w:r>
      <w:r>
        <w:rPr>
          <w:b/>
          <w:color w:val="212121"/>
          <w:sz w:val="21"/>
        </w:rPr>
        <w:t>R</w:t>
      </w:r>
      <w:r>
        <w:rPr>
          <w:b/>
          <w:color w:val="212121"/>
          <w:spacing w:val="-4"/>
          <w:sz w:val="21"/>
        </w:rPr>
        <w:t>G</w:t>
      </w:r>
      <w:r>
        <w:rPr>
          <w:b/>
          <w:color w:val="212121"/>
          <w:sz w:val="21"/>
        </w:rPr>
        <w:t>B'S</w:t>
      </w:r>
      <w:r>
        <w:rPr>
          <w:b/>
          <w:color w:val="212121"/>
          <w:sz w:val="21"/>
        </w:rPr>
        <w:t xml:space="preserve"> </w:t>
      </w:r>
      <w:r>
        <w:rPr>
          <w:b/>
          <w:color w:val="212121"/>
          <w:spacing w:val="-28"/>
          <w:sz w:val="21"/>
        </w:rPr>
        <w:t xml:space="preserve"> </w:t>
      </w:r>
      <w:r>
        <w:rPr>
          <w:b/>
          <w:color w:val="212121"/>
          <w:sz w:val="21"/>
        </w:rPr>
        <w:t>R</w:t>
      </w:r>
      <w:r>
        <w:rPr>
          <w:b/>
          <w:color w:val="212121"/>
          <w:spacing w:val="-2"/>
          <w:sz w:val="21"/>
        </w:rPr>
        <w:t>IGH</w:t>
      </w:r>
      <w:r>
        <w:rPr>
          <w:b/>
          <w:color w:val="212121"/>
          <w:sz w:val="21"/>
        </w:rPr>
        <w:t>T</w:t>
      </w:r>
      <w:r>
        <w:rPr>
          <w:b/>
          <w:color w:val="212121"/>
          <w:sz w:val="21"/>
        </w:rPr>
        <w:t xml:space="preserve"> </w:t>
      </w:r>
      <w:r>
        <w:rPr>
          <w:b/>
          <w:color w:val="212121"/>
          <w:spacing w:val="-26"/>
          <w:sz w:val="21"/>
        </w:rPr>
        <w:t xml:space="preserve"> </w:t>
      </w:r>
      <w:r>
        <w:rPr>
          <w:b/>
          <w:color w:val="212121"/>
          <w:spacing w:val="-2"/>
          <w:sz w:val="21"/>
        </w:rPr>
        <w:t>T</w:t>
      </w:r>
      <w:r>
        <w:rPr>
          <w:b/>
          <w:color w:val="212121"/>
          <w:sz w:val="21"/>
        </w:rPr>
        <w:t>O</w:t>
      </w:r>
      <w:r>
        <w:rPr>
          <w:b/>
          <w:color w:val="212121"/>
          <w:sz w:val="21"/>
        </w:rPr>
        <w:t xml:space="preserve"> </w:t>
      </w:r>
      <w:r>
        <w:rPr>
          <w:b/>
          <w:color w:val="212121"/>
          <w:spacing w:val="-22"/>
          <w:sz w:val="21"/>
        </w:rPr>
        <w:t xml:space="preserve"> </w:t>
      </w:r>
      <w:r>
        <w:rPr>
          <w:b/>
          <w:color w:val="212121"/>
          <w:spacing w:val="-7"/>
          <w:sz w:val="21"/>
        </w:rPr>
        <w:t>A</w:t>
      </w:r>
      <w:r>
        <w:rPr>
          <w:b/>
          <w:color w:val="212121"/>
          <w:sz w:val="21"/>
        </w:rPr>
        <w:t>CC</w:t>
      </w:r>
      <w:r>
        <w:rPr>
          <w:b/>
          <w:color w:val="212121"/>
          <w:spacing w:val="-2"/>
          <w:sz w:val="21"/>
        </w:rPr>
        <w:t>EP</w:t>
      </w:r>
      <w:r>
        <w:rPr>
          <w:b/>
          <w:color w:val="212121"/>
          <w:sz w:val="21"/>
        </w:rPr>
        <w:t>T</w:t>
      </w:r>
      <w:r>
        <w:rPr>
          <w:b/>
          <w:color w:val="212121"/>
          <w:sz w:val="21"/>
        </w:rPr>
        <w:t xml:space="preserve"> </w:t>
      </w:r>
      <w:r>
        <w:rPr>
          <w:b/>
          <w:color w:val="212121"/>
          <w:spacing w:val="-23"/>
          <w:sz w:val="21"/>
        </w:rPr>
        <w:t xml:space="preserve"> </w:t>
      </w:r>
      <w:r>
        <w:rPr>
          <w:b/>
          <w:color w:val="212121"/>
          <w:spacing w:val="-4"/>
          <w:sz w:val="21"/>
        </w:rPr>
        <w:t>O</w:t>
      </w:r>
      <w:r>
        <w:rPr>
          <w:b/>
          <w:color w:val="212121"/>
          <w:sz w:val="21"/>
        </w:rPr>
        <w:t>R</w:t>
      </w:r>
      <w:r>
        <w:rPr>
          <w:b/>
          <w:color w:val="212121"/>
          <w:sz w:val="21"/>
        </w:rPr>
        <w:t xml:space="preserve"> </w:t>
      </w:r>
      <w:r>
        <w:rPr>
          <w:b/>
          <w:color w:val="212121"/>
          <w:spacing w:val="-25"/>
          <w:sz w:val="21"/>
        </w:rPr>
        <w:t xml:space="preserve"> </w:t>
      </w:r>
      <w:r>
        <w:rPr>
          <w:b/>
          <w:color w:val="212121"/>
          <w:spacing w:val="-2"/>
          <w:sz w:val="21"/>
        </w:rPr>
        <w:t>R</w:t>
      </w:r>
      <w:r>
        <w:rPr>
          <w:b/>
          <w:color w:val="212121"/>
          <w:sz w:val="21"/>
        </w:rPr>
        <w:t>E</w:t>
      </w:r>
      <w:r>
        <w:rPr>
          <w:b/>
          <w:color w:val="212121"/>
          <w:spacing w:val="-3"/>
          <w:sz w:val="21"/>
        </w:rPr>
        <w:t>J</w:t>
      </w:r>
      <w:r>
        <w:rPr>
          <w:b/>
          <w:color w:val="212121"/>
          <w:spacing w:val="-2"/>
          <w:sz w:val="21"/>
        </w:rPr>
        <w:t>E</w:t>
      </w:r>
      <w:r>
        <w:rPr>
          <w:b/>
          <w:color w:val="212121"/>
          <w:sz w:val="21"/>
        </w:rPr>
        <w:t>CT</w:t>
      </w:r>
      <w:r>
        <w:rPr>
          <w:b/>
          <w:color w:val="212121"/>
          <w:sz w:val="21"/>
        </w:rPr>
        <w:t xml:space="preserve"> </w:t>
      </w:r>
      <w:r>
        <w:rPr>
          <w:b/>
          <w:color w:val="212121"/>
          <w:spacing w:val="-23"/>
          <w:sz w:val="21"/>
        </w:rPr>
        <w:t xml:space="preserve"> </w:t>
      </w:r>
      <w:r>
        <w:rPr>
          <w:b/>
          <w:color w:val="212121"/>
          <w:spacing w:val="-7"/>
          <w:sz w:val="21"/>
        </w:rPr>
        <w:t>A</w:t>
      </w:r>
      <w:r>
        <w:rPr>
          <w:b/>
          <w:color w:val="212121"/>
          <w:sz w:val="21"/>
        </w:rPr>
        <w:t>NY</w:t>
      </w:r>
      <w:r>
        <w:rPr>
          <w:b/>
          <w:color w:val="212121"/>
          <w:sz w:val="21"/>
        </w:rPr>
        <w:t xml:space="preserve"> </w:t>
      </w:r>
      <w:r>
        <w:rPr>
          <w:b/>
          <w:color w:val="212121"/>
          <w:spacing w:val="-26"/>
          <w:sz w:val="21"/>
        </w:rPr>
        <w:t xml:space="preserve"> </w:t>
      </w:r>
      <w:r>
        <w:rPr>
          <w:b/>
          <w:color w:val="212121"/>
          <w:spacing w:val="-2"/>
          <w:sz w:val="21"/>
        </w:rPr>
        <w:t>O</w:t>
      </w:r>
      <w:r>
        <w:rPr>
          <w:b/>
          <w:color w:val="212121"/>
          <w:sz w:val="21"/>
        </w:rPr>
        <w:t xml:space="preserve">R </w:t>
      </w:r>
      <w:r>
        <w:rPr>
          <w:b/>
          <w:color w:val="212121"/>
          <w:sz w:val="21"/>
        </w:rPr>
        <w:t>ALL</w:t>
      </w:r>
      <w:r>
        <w:rPr>
          <w:b/>
          <w:color w:val="212121"/>
          <w:spacing w:val="1"/>
          <w:sz w:val="21"/>
        </w:rPr>
        <w:t xml:space="preserve"> </w:t>
      </w:r>
      <w:r>
        <w:rPr>
          <w:b/>
          <w:color w:val="212121"/>
          <w:sz w:val="21"/>
        </w:rPr>
        <w:t>APPLICATION-CUM-BIDS</w:t>
      </w:r>
    </w:p>
    <w:p w:rsidR="008215AB" w:rsidRDefault="008215AB">
      <w:pPr>
        <w:pStyle w:val="BodyText"/>
        <w:spacing w:before="4"/>
        <w:rPr>
          <w:b/>
          <w:sz w:val="24"/>
        </w:rPr>
      </w:pPr>
    </w:p>
    <w:p w:rsidR="008215AB" w:rsidRDefault="006513FA">
      <w:pPr>
        <w:spacing w:line="276" w:lineRule="auto"/>
        <w:ind w:left="1940" w:right="1937"/>
        <w:jc w:val="both"/>
        <w:rPr>
          <w:sz w:val="21"/>
        </w:rPr>
      </w:pPr>
      <w:r>
        <w:rPr>
          <w:color w:val="212121"/>
          <w:sz w:val="21"/>
        </w:rPr>
        <w:t>4.4.1 PNRGB reserves the right to reject any Application- cum-Bid comprising quoted work programme considered by it to be unreasonably high or</w:t>
      </w:r>
      <w:r>
        <w:rPr>
          <w:color w:val="212121"/>
          <w:spacing w:val="-12"/>
          <w:sz w:val="21"/>
        </w:rPr>
        <w:t xml:space="preserve"> </w:t>
      </w:r>
      <w:r>
        <w:rPr>
          <w:color w:val="212121"/>
          <w:sz w:val="21"/>
        </w:rPr>
        <w:t>low.‖</w:t>
      </w:r>
    </w:p>
    <w:p w:rsidR="008215AB" w:rsidRDefault="008215AB">
      <w:pPr>
        <w:spacing w:line="276" w:lineRule="auto"/>
        <w:jc w:val="both"/>
        <w:rPr>
          <w:sz w:val="21"/>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6"/>
        <w:jc w:val="both"/>
      </w:pPr>
      <w:r>
        <w:t>On 31 May 2018, Addendum-1 to the Bid Document was issued by the Board. Clause 14.2, inse</w:t>
      </w:r>
      <w:r>
        <w:t>rted as a result of Addendum-1, contained the following clarification:</w:t>
      </w:r>
    </w:p>
    <w:p w:rsidR="008215AB" w:rsidRDefault="006513FA">
      <w:pPr>
        <w:spacing w:before="239" w:line="276" w:lineRule="auto"/>
        <w:ind w:left="1940" w:right="1944"/>
        <w:jc w:val="both"/>
        <w:rPr>
          <w:sz w:val="21"/>
        </w:rPr>
      </w:pPr>
      <w:r>
        <w:rPr>
          <w:color w:val="212121"/>
          <w:w w:val="33"/>
          <w:sz w:val="21"/>
        </w:rPr>
        <w:t>―</w:t>
      </w:r>
      <w:r>
        <w:rPr>
          <w:color w:val="212121"/>
          <w:sz w:val="21"/>
        </w:rPr>
        <w:t>14.2</w:t>
      </w:r>
      <w:r>
        <w:rPr>
          <w:color w:val="212121"/>
          <w:sz w:val="21"/>
        </w:rPr>
        <w:t xml:space="preserve">   </w:t>
      </w:r>
      <w:r>
        <w:rPr>
          <w:color w:val="212121"/>
          <w:sz w:val="21"/>
        </w:rPr>
        <w:t>What</w:t>
      </w:r>
      <w:r>
        <w:rPr>
          <w:color w:val="212121"/>
          <w:sz w:val="21"/>
        </w:rPr>
        <w:t xml:space="preserve">   </w:t>
      </w:r>
      <w:r>
        <w:rPr>
          <w:color w:val="212121"/>
          <w:sz w:val="21"/>
        </w:rPr>
        <w:t>should</w:t>
      </w:r>
      <w:r>
        <w:rPr>
          <w:color w:val="212121"/>
          <w:sz w:val="21"/>
        </w:rPr>
        <w:t xml:space="preserve">   </w:t>
      </w:r>
      <w:r>
        <w:rPr>
          <w:color w:val="212121"/>
          <w:sz w:val="21"/>
        </w:rPr>
        <w:t>be</w:t>
      </w:r>
      <w:r>
        <w:rPr>
          <w:color w:val="212121"/>
          <w:sz w:val="21"/>
        </w:rPr>
        <w:t xml:space="preserve">   </w:t>
      </w:r>
      <w:r>
        <w:rPr>
          <w:color w:val="212121"/>
          <w:sz w:val="21"/>
        </w:rPr>
        <w:t>considered</w:t>
      </w:r>
      <w:r>
        <w:rPr>
          <w:color w:val="212121"/>
          <w:sz w:val="21"/>
        </w:rPr>
        <w:t xml:space="preserve">   </w:t>
      </w:r>
      <w:r>
        <w:rPr>
          <w:color w:val="212121"/>
          <w:sz w:val="21"/>
        </w:rPr>
        <w:t>to</w:t>
      </w:r>
      <w:r>
        <w:rPr>
          <w:color w:val="212121"/>
          <w:sz w:val="21"/>
        </w:rPr>
        <w:t xml:space="preserve">   </w:t>
      </w:r>
      <w:r>
        <w:rPr>
          <w:color w:val="212121"/>
          <w:sz w:val="21"/>
        </w:rPr>
        <w:t>be</w:t>
      </w:r>
      <w:r>
        <w:rPr>
          <w:color w:val="212121"/>
          <w:sz w:val="21"/>
        </w:rPr>
        <w:t xml:space="preserve">   </w:t>
      </w:r>
      <w:r>
        <w:rPr>
          <w:color w:val="212121"/>
          <w:sz w:val="21"/>
        </w:rPr>
        <w:t>the</w:t>
      </w:r>
      <w:r>
        <w:rPr>
          <w:color w:val="212121"/>
          <w:sz w:val="21"/>
        </w:rPr>
        <w:t xml:space="preserve">   </w:t>
      </w:r>
      <w:r>
        <w:rPr>
          <w:color w:val="212121"/>
          <w:sz w:val="21"/>
        </w:rPr>
        <w:t>level</w:t>
      </w:r>
      <w:r>
        <w:rPr>
          <w:color w:val="212121"/>
          <w:sz w:val="21"/>
        </w:rPr>
        <w:t xml:space="preserve">   </w:t>
      </w:r>
      <w:r>
        <w:rPr>
          <w:color w:val="212121"/>
          <w:sz w:val="21"/>
        </w:rPr>
        <w:t xml:space="preserve">of </w:t>
      </w:r>
      <w:r>
        <w:rPr>
          <w:color w:val="212121"/>
          <w:sz w:val="21"/>
        </w:rPr>
        <w:t>"unreasonably high" or "unreasonably low" quotes shall be decided by Board at the time of bid evaluation on a case t</w:t>
      </w:r>
      <w:r>
        <w:rPr>
          <w:color w:val="212121"/>
          <w:sz w:val="21"/>
        </w:rPr>
        <w:t>o case basis after considering the relevant factors.‖</w:t>
      </w:r>
    </w:p>
    <w:p w:rsidR="008215AB" w:rsidRDefault="008215AB">
      <w:pPr>
        <w:pStyle w:val="BodyText"/>
        <w:rPr>
          <w:sz w:val="24"/>
        </w:rPr>
      </w:pPr>
    </w:p>
    <w:p w:rsidR="008215AB" w:rsidRDefault="008215AB">
      <w:pPr>
        <w:pStyle w:val="BodyText"/>
        <w:rPr>
          <w:sz w:val="24"/>
        </w:rPr>
      </w:pPr>
    </w:p>
    <w:p w:rsidR="008215AB" w:rsidRDefault="006513FA">
      <w:pPr>
        <w:pStyle w:val="BodyText"/>
        <w:spacing w:before="170" w:line="480" w:lineRule="auto"/>
        <w:ind w:left="500" w:right="123"/>
        <w:jc w:val="both"/>
      </w:pPr>
      <w:r>
        <w:t>According to the above stipulation, the Board clarified that the determination of an unreasonably high or low quote would be made by the Board at the time of bid evaluation on a case to case basis aft</w:t>
      </w:r>
      <w:r>
        <w:t>er considering the relevant factors.</w:t>
      </w:r>
    </w:p>
    <w:p w:rsidR="008215AB" w:rsidRDefault="008215AB">
      <w:pPr>
        <w:pStyle w:val="BodyText"/>
        <w:spacing w:before="1"/>
      </w:pPr>
    </w:p>
    <w:p w:rsidR="008215AB" w:rsidRDefault="006513FA">
      <w:pPr>
        <w:pStyle w:val="ListParagraph"/>
        <w:numPr>
          <w:ilvl w:val="0"/>
          <w:numId w:val="8"/>
        </w:numPr>
        <w:tabs>
          <w:tab w:val="left" w:pos="1221"/>
        </w:tabs>
        <w:spacing w:before="1" w:line="480" w:lineRule="auto"/>
        <w:ind w:right="117" w:firstLine="0"/>
        <w:jc w:val="both"/>
        <w:rPr>
          <w:sz w:val="25"/>
        </w:rPr>
      </w:pPr>
      <w:r>
        <w:rPr>
          <w:sz w:val="25"/>
        </w:rPr>
        <w:t>On 10 July 2018, three bid evaluation committees</w:t>
      </w:r>
      <w:r>
        <w:rPr>
          <w:sz w:val="25"/>
          <w:vertAlign w:val="superscript"/>
        </w:rPr>
        <w:t>9</w:t>
      </w:r>
      <w:r>
        <w:rPr>
          <w:sz w:val="25"/>
        </w:rPr>
        <w:t xml:space="preserve"> were nominated by the Board for evaluating the bid documents. On 12 July 2018, a press release was issued by the Board setting out the date and time for the opening of </w:t>
      </w:r>
      <w:r>
        <w:rPr>
          <w:sz w:val="25"/>
        </w:rPr>
        <w:t>technical  bids for different GAs. The technical bids for GA 51 (Puducherry) were to be opened on 16 July 2018 at 14.00 hours; for GA 61 (Kanchipuram) on 17 July 2018 at 12.30 hours; and for GA 62 (Chennai-Tiruvallur) on 17 July 2018 at 13.30 hours. The te</w:t>
      </w:r>
      <w:r>
        <w:rPr>
          <w:sz w:val="25"/>
        </w:rPr>
        <w:t>chnical bids were opened by the Board in the presence of the bidders‘</w:t>
      </w:r>
      <w:r>
        <w:rPr>
          <w:spacing w:val="-2"/>
          <w:sz w:val="25"/>
        </w:rPr>
        <w:t xml:space="preserve"> </w:t>
      </w:r>
      <w:r>
        <w:rPr>
          <w:sz w:val="25"/>
        </w:rPr>
        <w:t>representatives.</w:t>
      </w:r>
    </w:p>
    <w:p w:rsidR="008215AB" w:rsidRDefault="008215AB">
      <w:pPr>
        <w:pStyle w:val="BodyText"/>
      </w:pPr>
    </w:p>
    <w:p w:rsidR="008215AB" w:rsidRDefault="006513FA">
      <w:pPr>
        <w:pStyle w:val="ListParagraph"/>
        <w:numPr>
          <w:ilvl w:val="0"/>
          <w:numId w:val="8"/>
        </w:numPr>
        <w:tabs>
          <w:tab w:val="left" w:pos="1221"/>
        </w:tabs>
        <w:spacing w:line="480" w:lineRule="auto"/>
        <w:ind w:right="114" w:firstLine="0"/>
        <w:jc w:val="both"/>
        <w:rPr>
          <w:sz w:val="25"/>
        </w:rPr>
      </w:pPr>
      <w:r>
        <w:rPr>
          <w:sz w:val="25"/>
        </w:rPr>
        <w:t>On 23 July 2018, a note</w:t>
      </w:r>
      <w:r>
        <w:rPr>
          <w:sz w:val="25"/>
          <w:vertAlign w:val="superscript"/>
        </w:rPr>
        <w:t>10</w:t>
      </w:r>
      <w:r>
        <w:rPr>
          <w:sz w:val="25"/>
        </w:rPr>
        <w:t xml:space="preserve"> was moved for the approval of the members of the Board with a view to encourage serious bidders and to avoid unrealistic/unreasonable bidding </w:t>
      </w:r>
      <w:r>
        <w:rPr>
          <w:sz w:val="25"/>
        </w:rPr>
        <w:t>in terms of Clause 4.4.1 of the Bid Document. The Board Note, insofar as is material</w:t>
      </w:r>
      <w:r>
        <w:rPr>
          <w:spacing w:val="-5"/>
          <w:sz w:val="25"/>
        </w:rPr>
        <w:t xml:space="preserve"> </w:t>
      </w:r>
      <w:r>
        <w:rPr>
          <w:sz w:val="25"/>
        </w:rPr>
        <w:t>provided:</w:t>
      </w:r>
    </w:p>
    <w:p w:rsidR="008215AB" w:rsidRDefault="008215AB">
      <w:pPr>
        <w:pStyle w:val="BodyText"/>
        <w:rPr>
          <w:sz w:val="20"/>
        </w:rPr>
      </w:pPr>
    </w:p>
    <w:p w:rsidR="008215AB" w:rsidRDefault="008215AB">
      <w:pPr>
        <w:pStyle w:val="BodyText"/>
        <w:spacing w:before="1"/>
        <w:rPr>
          <w:sz w:val="14"/>
        </w:rPr>
      </w:pPr>
      <w:r w:rsidRPr="008215AB">
        <w:pict>
          <v:rect id="_x0000_s2055" style="position:absolute;margin-left:1in;margin-top:10.05pt;width:2in;height:.6pt;z-index:-15725568;mso-wrap-distance-left:0;mso-wrap-distance-right:0;mso-position-horizontal-relative:page" fillcolor="black" stroked="f">
            <w10:wrap type="topAndBottom" anchorx="page"/>
          </v:rect>
        </w:pict>
      </w:r>
    </w:p>
    <w:p w:rsidR="008215AB" w:rsidRDefault="006513FA">
      <w:pPr>
        <w:spacing w:before="78"/>
        <w:ind w:left="500"/>
        <w:rPr>
          <w:sz w:val="18"/>
        </w:rPr>
      </w:pPr>
      <w:r>
        <w:rPr>
          <w:sz w:val="18"/>
          <w:vertAlign w:val="superscript"/>
        </w:rPr>
        <w:t>9</w:t>
      </w:r>
      <w:r>
        <w:rPr>
          <w:sz w:val="18"/>
        </w:rPr>
        <w:t xml:space="preserve"> (―BECs‖)</w:t>
      </w:r>
    </w:p>
    <w:p w:rsidR="008215AB" w:rsidRDefault="006513FA">
      <w:pPr>
        <w:spacing w:before="2"/>
        <w:ind w:left="500"/>
        <w:rPr>
          <w:sz w:val="18"/>
        </w:rPr>
      </w:pPr>
      <w:r>
        <w:rPr>
          <w:sz w:val="18"/>
          <w:vertAlign w:val="superscript"/>
        </w:rPr>
        <w:t>10</w:t>
      </w:r>
      <w:r>
        <w:rPr>
          <w:sz w:val="18"/>
        </w:rPr>
        <w:t xml:space="preserve"> ―Board Note‖</w:t>
      </w:r>
    </w:p>
    <w:p w:rsidR="008215AB" w:rsidRDefault="008215AB">
      <w:pPr>
        <w:rPr>
          <w:sz w:val="18"/>
        </w:rPr>
        <w:sectPr w:rsidR="008215AB">
          <w:pgSz w:w="11910" w:h="16840"/>
          <w:pgMar w:top="1340" w:right="1320" w:bottom="1220" w:left="940" w:header="0" w:footer="1034" w:gutter="0"/>
          <w:cols w:space="720"/>
        </w:sectPr>
      </w:pPr>
    </w:p>
    <w:p w:rsidR="008215AB" w:rsidRDefault="006513FA">
      <w:pPr>
        <w:spacing w:before="76"/>
        <w:ind w:left="1940"/>
        <w:rPr>
          <w:b/>
          <w:sz w:val="21"/>
        </w:rPr>
      </w:pPr>
      <w:r>
        <w:rPr>
          <w:spacing w:val="-1"/>
          <w:w w:val="33"/>
          <w:sz w:val="21"/>
        </w:rPr>
        <w:t>―</w:t>
      </w:r>
      <w:r>
        <w:rPr>
          <w:b/>
          <w:sz w:val="21"/>
          <w:u w:val="thick"/>
        </w:rPr>
        <w:t>S</w:t>
      </w:r>
      <w:r>
        <w:rPr>
          <w:b/>
          <w:spacing w:val="-2"/>
          <w:sz w:val="21"/>
          <w:u w:val="thick"/>
        </w:rPr>
        <w:t>u</w:t>
      </w:r>
      <w:r>
        <w:rPr>
          <w:b/>
          <w:sz w:val="21"/>
          <w:u w:val="thick"/>
        </w:rPr>
        <w:t>bjec</w:t>
      </w:r>
      <w:r>
        <w:rPr>
          <w:b/>
          <w:spacing w:val="-4"/>
          <w:sz w:val="21"/>
          <w:u w:val="thick"/>
        </w:rPr>
        <w:t>t</w:t>
      </w:r>
      <w:r>
        <w:rPr>
          <w:b/>
          <w:sz w:val="21"/>
          <w:u w:val="thick"/>
        </w:rPr>
        <w:t>:</w:t>
      </w:r>
      <w:r>
        <w:rPr>
          <w:b/>
          <w:sz w:val="21"/>
          <w:u w:val="thick"/>
        </w:rPr>
        <w:t xml:space="preserve"> </w:t>
      </w:r>
      <w:r>
        <w:rPr>
          <w:b/>
          <w:sz w:val="21"/>
          <w:u w:val="thick"/>
        </w:rPr>
        <w:t>R</w:t>
      </w:r>
      <w:r>
        <w:rPr>
          <w:b/>
          <w:spacing w:val="-3"/>
          <w:sz w:val="21"/>
          <w:u w:val="thick"/>
        </w:rPr>
        <w:t>e</w:t>
      </w:r>
      <w:r>
        <w:rPr>
          <w:b/>
          <w:sz w:val="21"/>
          <w:u w:val="thick"/>
        </w:rPr>
        <w:t>a</w:t>
      </w:r>
      <w:r>
        <w:rPr>
          <w:b/>
          <w:spacing w:val="-3"/>
          <w:sz w:val="21"/>
          <w:u w:val="thick"/>
        </w:rPr>
        <w:t>s</w:t>
      </w:r>
      <w:r>
        <w:rPr>
          <w:b/>
          <w:sz w:val="21"/>
          <w:u w:val="thick"/>
        </w:rPr>
        <w:t>o</w:t>
      </w:r>
      <w:r>
        <w:rPr>
          <w:b/>
          <w:spacing w:val="-2"/>
          <w:sz w:val="21"/>
          <w:u w:val="thick"/>
        </w:rPr>
        <w:t>n</w:t>
      </w:r>
      <w:r>
        <w:rPr>
          <w:b/>
          <w:sz w:val="21"/>
          <w:u w:val="thick"/>
        </w:rPr>
        <w:t>ab</w:t>
      </w:r>
      <w:r>
        <w:rPr>
          <w:b/>
          <w:spacing w:val="-2"/>
          <w:sz w:val="21"/>
          <w:u w:val="thick"/>
        </w:rPr>
        <w:t>ili</w:t>
      </w:r>
      <w:r>
        <w:rPr>
          <w:b/>
          <w:spacing w:val="1"/>
          <w:sz w:val="21"/>
          <w:u w:val="thick"/>
        </w:rPr>
        <w:t>t</w:t>
      </w:r>
      <w:r>
        <w:rPr>
          <w:b/>
          <w:sz w:val="21"/>
          <w:u w:val="thick"/>
        </w:rPr>
        <w:t>y</w:t>
      </w:r>
      <w:r>
        <w:rPr>
          <w:b/>
          <w:spacing w:val="-4"/>
          <w:sz w:val="21"/>
          <w:u w:val="thick"/>
        </w:rPr>
        <w:t xml:space="preserve"> </w:t>
      </w:r>
      <w:r>
        <w:rPr>
          <w:b/>
          <w:sz w:val="21"/>
          <w:u w:val="thick"/>
        </w:rPr>
        <w:t>of</w:t>
      </w:r>
      <w:r>
        <w:rPr>
          <w:b/>
          <w:spacing w:val="-1"/>
          <w:sz w:val="21"/>
          <w:u w:val="thick"/>
        </w:rPr>
        <w:t xml:space="preserve"> </w:t>
      </w:r>
      <w:r>
        <w:rPr>
          <w:b/>
          <w:sz w:val="21"/>
          <w:u w:val="thick"/>
        </w:rPr>
        <w:t>B</w:t>
      </w:r>
      <w:r>
        <w:rPr>
          <w:b/>
          <w:spacing w:val="-2"/>
          <w:sz w:val="21"/>
          <w:u w:val="thick"/>
        </w:rPr>
        <w:t>id</w:t>
      </w:r>
      <w:r>
        <w:rPr>
          <w:b/>
          <w:sz w:val="21"/>
          <w:u w:val="thick"/>
        </w:rPr>
        <w:t>ding</w:t>
      </w:r>
      <w:r>
        <w:rPr>
          <w:b/>
          <w:spacing w:val="-3"/>
          <w:sz w:val="21"/>
          <w:u w:val="thick"/>
        </w:rPr>
        <w:t xml:space="preserve"> </w:t>
      </w:r>
      <w:r>
        <w:rPr>
          <w:b/>
          <w:sz w:val="21"/>
          <w:u w:val="thick"/>
        </w:rPr>
        <w:t>Par</w:t>
      </w:r>
      <w:r>
        <w:rPr>
          <w:b/>
          <w:spacing w:val="-3"/>
          <w:sz w:val="21"/>
          <w:u w:val="thick"/>
        </w:rPr>
        <w:t>a</w:t>
      </w:r>
      <w:r>
        <w:rPr>
          <w:b/>
          <w:sz w:val="21"/>
          <w:u w:val="thick"/>
        </w:rPr>
        <w:t>me</w:t>
      </w:r>
      <w:r>
        <w:rPr>
          <w:b/>
          <w:spacing w:val="-2"/>
          <w:sz w:val="21"/>
          <w:u w:val="thick"/>
        </w:rPr>
        <w:t>t</w:t>
      </w:r>
      <w:r>
        <w:rPr>
          <w:b/>
          <w:sz w:val="21"/>
          <w:u w:val="thick"/>
        </w:rPr>
        <w:t>ers</w:t>
      </w:r>
    </w:p>
    <w:p w:rsidR="008215AB" w:rsidRDefault="008215AB">
      <w:pPr>
        <w:pStyle w:val="BodyText"/>
        <w:spacing w:before="11"/>
        <w:rPr>
          <w:b/>
          <w:sz w:val="15"/>
        </w:rPr>
      </w:pPr>
    </w:p>
    <w:p w:rsidR="008215AB" w:rsidRDefault="006513FA">
      <w:pPr>
        <w:spacing w:before="94" w:line="276" w:lineRule="auto"/>
        <w:ind w:left="1940" w:right="1942"/>
        <w:jc w:val="both"/>
        <w:rPr>
          <w:sz w:val="21"/>
        </w:rPr>
      </w:pPr>
      <w:r>
        <w:rPr>
          <w:sz w:val="21"/>
        </w:rPr>
        <w:t>Bid evaluation for technical bid is under progress for all 86 GAs. Technical bid queries are being issued and it is expected that the Financial bid opening may be started from this week (24</w:t>
      </w:r>
      <w:r>
        <w:rPr>
          <w:sz w:val="21"/>
          <w:vertAlign w:val="superscript"/>
        </w:rPr>
        <w:t>th</w:t>
      </w:r>
      <w:r>
        <w:rPr>
          <w:sz w:val="21"/>
        </w:rPr>
        <w:t xml:space="preserve"> July onwards) for various GAs. The bidding parameters have been completely changed in current</w:t>
      </w:r>
      <w:r>
        <w:rPr>
          <w:spacing w:val="-14"/>
          <w:sz w:val="21"/>
        </w:rPr>
        <w:t xml:space="preserve"> </w:t>
      </w:r>
      <w:r>
        <w:rPr>
          <w:sz w:val="21"/>
        </w:rPr>
        <w:t>round.</w:t>
      </w:r>
    </w:p>
    <w:p w:rsidR="008215AB" w:rsidRDefault="008215AB">
      <w:pPr>
        <w:pStyle w:val="BodyText"/>
        <w:spacing w:before="9"/>
        <w:rPr>
          <w:sz w:val="20"/>
        </w:rPr>
      </w:pPr>
    </w:p>
    <w:p w:rsidR="008215AB" w:rsidRDefault="006513FA">
      <w:pPr>
        <w:spacing w:line="276" w:lineRule="auto"/>
        <w:ind w:left="1940" w:right="1944"/>
        <w:jc w:val="both"/>
        <w:rPr>
          <w:sz w:val="21"/>
        </w:rPr>
      </w:pPr>
      <w:r>
        <w:rPr>
          <w:sz w:val="21"/>
        </w:rPr>
        <w:t>In order to promote serious bidders and to avoid any unrealistic/unreasonable bidding number committed by entity, PNGRB has included a rejection clause i</w:t>
      </w:r>
      <w:r>
        <w:rPr>
          <w:sz w:val="21"/>
        </w:rPr>
        <w:t>n Para 4.4.1 of application-cum-bid documents. The clause is reproduced below:</w:t>
      </w:r>
    </w:p>
    <w:p w:rsidR="008215AB" w:rsidRDefault="008215AB">
      <w:pPr>
        <w:pStyle w:val="BodyText"/>
        <w:rPr>
          <w:sz w:val="21"/>
        </w:rPr>
      </w:pPr>
    </w:p>
    <w:p w:rsidR="008215AB" w:rsidRDefault="006513FA">
      <w:pPr>
        <w:spacing w:line="276" w:lineRule="auto"/>
        <w:ind w:left="1940" w:right="1940"/>
        <w:jc w:val="both"/>
        <w:rPr>
          <w:sz w:val="21"/>
        </w:rPr>
      </w:pPr>
      <w:r>
        <w:rPr>
          <w:w w:val="33"/>
          <w:sz w:val="21"/>
        </w:rPr>
        <w:t>―</w:t>
      </w:r>
      <w:r>
        <w:rPr>
          <w:sz w:val="21"/>
        </w:rPr>
        <w:t>PNGRB</w:t>
      </w:r>
      <w:r>
        <w:rPr>
          <w:sz w:val="21"/>
        </w:rPr>
        <w:t xml:space="preserve"> </w:t>
      </w:r>
      <w:r>
        <w:rPr>
          <w:sz w:val="21"/>
        </w:rPr>
        <w:t>reserves</w:t>
      </w:r>
      <w:r>
        <w:rPr>
          <w:sz w:val="21"/>
        </w:rPr>
        <w:t xml:space="preserve"> </w:t>
      </w:r>
      <w:r>
        <w:rPr>
          <w:sz w:val="21"/>
        </w:rPr>
        <w:t>the</w:t>
      </w:r>
      <w:r>
        <w:rPr>
          <w:sz w:val="21"/>
        </w:rPr>
        <w:t xml:space="preserve"> </w:t>
      </w:r>
      <w:r>
        <w:rPr>
          <w:sz w:val="21"/>
        </w:rPr>
        <w:t>right</w:t>
      </w:r>
      <w:r>
        <w:rPr>
          <w:sz w:val="21"/>
        </w:rPr>
        <w:t xml:space="preserve"> </w:t>
      </w:r>
      <w:r>
        <w:rPr>
          <w:sz w:val="21"/>
        </w:rPr>
        <w:t>to</w:t>
      </w:r>
      <w:r>
        <w:rPr>
          <w:sz w:val="21"/>
        </w:rPr>
        <w:t xml:space="preserve"> </w:t>
      </w:r>
      <w:r>
        <w:rPr>
          <w:sz w:val="21"/>
        </w:rPr>
        <w:t>reject</w:t>
      </w:r>
      <w:r>
        <w:rPr>
          <w:sz w:val="21"/>
        </w:rPr>
        <w:t xml:space="preserve"> </w:t>
      </w:r>
      <w:r>
        <w:rPr>
          <w:sz w:val="21"/>
        </w:rPr>
        <w:t>any</w:t>
      </w:r>
      <w:r>
        <w:rPr>
          <w:sz w:val="21"/>
        </w:rPr>
        <w:t xml:space="preserve"> </w:t>
      </w:r>
      <w:r>
        <w:rPr>
          <w:sz w:val="21"/>
        </w:rPr>
        <w:t xml:space="preserve">Application-cum-Bid </w:t>
      </w:r>
      <w:r>
        <w:rPr>
          <w:sz w:val="21"/>
        </w:rPr>
        <w:t>comprising quoted work programme considered by it to be unreasonably high or law.‖</w:t>
      </w:r>
    </w:p>
    <w:p w:rsidR="008215AB" w:rsidRDefault="008215AB">
      <w:pPr>
        <w:pStyle w:val="BodyText"/>
        <w:spacing w:before="10"/>
        <w:rPr>
          <w:sz w:val="20"/>
        </w:rPr>
      </w:pPr>
    </w:p>
    <w:p w:rsidR="008215AB" w:rsidRDefault="006513FA">
      <w:pPr>
        <w:spacing w:line="276" w:lineRule="auto"/>
        <w:ind w:left="1940" w:right="1945"/>
        <w:jc w:val="both"/>
        <w:rPr>
          <w:sz w:val="21"/>
        </w:rPr>
      </w:pPr>
      <w:r>
        <w:rPr>
          <w:sz w:val="21"/>
        </w:rPr>
        <w:t>Since technical bids for some of</w:t>
      </w:r>
      <w:r>
        <w:rPr>
          <w:sz w:val="21"/>
        </w:rPr>
        <w:t xml:space="preserve"> the GAs are about to be concluded, it is essential to decide upon the reasonability of the bidding parameters which are constituting work programme. In this regard, following is proposed:</w:t>
      </w:r>
    </w:p>
    <w:p w:rsidR="008215AB" w:rsidRDefault="008215AB">
      <w:pPr>
        <w:pStyle w:val="BodyText"/>
        <w:spacing w:before="10"/>
        <w:rPr>
          <w:sz w:val="20"/>
        </w:rPr>
      </w:pPr>
    </w:p>
    <w:p w:rsidR="008215AB" w:rsidRDefault="006513FA">
      <w:pPr>
        <w:ind w:left="2300"/>
        <w:jc w:val="both"/>
        <w:rPr>
          <w:b/>
          <w:sz w:val="21"/>
        </w:rPr>
      </w:pPr>
      <w:r>
        <w:rPr>
          <w:b/>
          <w:sz w:val="21"/>
        </w:rPr>
        <w:t>1. No of PNG Domestic connections:</w:t>
      </w:r>
    </w:p>
    <w:p w:rsidR="008215AB" w:rsidRDefault="006513FA">
      <w:pPr>
        <w:spacing w:before="76" w:line="276" w:lineRule="auto"/>
        <w:ind w:left="2660" w:right="2633"/>
        <w:jc w:val="both"/>
        <w:rPr>
          <w:sz w:val="21"/>
        </w:rPr>
      </w:pPr>
      <w:r>
        <w:rPr>
          <w:b/>
          <w:sz w:val="21"/>
        </w:rPr>
        <w:t xml:space="preserve">Lower Limit: </w:t>
      </w:r>
      <w:r>
        <w:rPr>
          <w:sz w:val="21"/>
        </w:rPr>
        <w:t>Ministry of Petroleum and Natural Gas (MoP&amp;NG) vide letter No L- 16021/9/2013-GP-1 (pt.) dated 16</w:t>
      </w:r>
      <w:r>
        <w:rPr>
          <w:sz w:val="21"/>
          <w:vertAlign w:val="superscript"/>
        </w:rPr>
        <w:t>th</w:t>
      </w:r>
      <w:r>
        <w:rPr>
          <w:sz w:val="21"/>
        </w:rPr>
        <w:t xml:space="preserve"> August 2016, constituted a committee to examine the City Gas Distribution (CGD) bidding related issues. The committee in its report recommended minimum work</w:t>
      </w:r>
      <w:r>
        <w:rPr>
          <w:sz w:val="21"/>
        </w:rPr>
        <w:t xml:space="preserve"> programme (MWP) for inter-alia PNG domestic connections as 7.5% of within district headquarters/ municipal limit. Prior to 9</w:t>
      </w:r>
      <w:r>
        <w:rPr>
          <w:sz w:val="21"/>
          <w:vertAlign w:val="superscript"/>
        </w:rPr>
        <w:t>th</w:t>
      </w:r>
      <w:r>
        <w:rPr>
          <w:sz w:val="21"/>
        </w:rPr>
        <w:t xml:space="preserve"> round, MWP for PNG domestic connections was fixed for 5 % total household. Considering above it is proposed that 2 % of total Ho</w:t>
      </w:r>
      <w:r>
        <w:rPr>
          <w:sz w:val="21"/>
        </w:rPr>
        <w:t>usehold (Census 2011 data) may be considered as</w:t>
      </w:r>
      <w:r>
        <w:rPr>
          <w:spacing w:val="-5"/>
          <w:sz w:val="21"/>
        </w:rPr>
        <w:t xml:space="preserve"> </w:t>
      </w:r>
      <w:r>
        <w:rPr>
          <w:sz w:val="21"/>
        </w:rPr>
        <w:t>minimum.</w:t>
      </w:r>
    </w:p>
    <w:p w:rsidR="008215AB" w:rsidRDefault="008215AB">
      <w:pPr>
        <w:pStyle w:val="BodyText"/>
        <w:rPr>
          <w:sz w:val="21"/>
        </w:rPr>
      </w:pPr>
    </w:p>
    <w:p w:rsidR="008215AB" w:rsidRDefault="006513FA">
      <w:pPr>
        <w:spacing w:line="276" w:lineRule="auto"/>
        <w:ind w:left="2660" w:right="2636"/>
        <w:jc w:val="both"/>
        <w:rPr>
          <w:sz w:val="21"/>
        </w:rPr>
      </w:pPr>
      <w:r>
        <w:rPr>
          <w:b/>
          <w:sz w:val="21"/>
        </w:rPr>
        <w:t xml:space="preserve">Maximum Limit: </w:t>
      </w:r>
      <w:r>
        <w:rPr>
          <w:sz w:val="21"/>
        </w:rPr>
        <w:t>In order to reach at maximum value various possibilities has been discussed in house which includes conversion of LPG to PNG, maximum penetration at present in GAs etc. It is proposed</w:t>
      </w:r>
      <w:r>
        <w:rPr>
          <w:sz w:val="21"/>
        </w:rPr>
        <w:t xml:space="preserve"> to keep maximum limit of PNG Domestic connections as 100 % of Household (Census 2011 data). Beyond 100 % household may be treated </w:t>
      </w:r>
      <w:r>
        <w:rPr>
          <w:spacing w:val="-6"/>
          <w:sz w:val="21"/>
        </w:rPr>
        <w:t xml:space="preserve">as </w:t>
      </w:r>
      <w:r>
        <w:rPr>
          <w:sz w:val="21"/>
        </w:rPr>
        <w:t>unreasonable</w:t>
      </w:r>
      <w:r>
        <w:rPr>
          <w:spacing w:val="-2"/>
          <w:sz w:val="21"/>
        </w:rPr>
        <w:t xml:space="preserve"> </w:t>
      </w:r>
      <w:r>
        <w:rPr>
          <w:sz w:val="21"/>
        </w:rPr>
        <w:t>quote.‖</w:t>
      </w:r>
    </w:p>
    <w:p w:rsidR="008215AB" w:rsidRDefault="008215AB">
      <w:pPr>
        <w:spacing w:line="276" w:lineRule="auto"/>
        <w:jc w:val="both"/>
        <w:rPr>
          <w:sz w:val="21"/>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20"/>
        <w:jc w:val="both"/>
      </w:pPr>
      <w:r>
        <w:t xml:space="preserve">The Board Note was approved by the members of the Board including the Chairperson. </w:t>
      </w:r>
      <w:r>
        <w:t>Between 24 July 2018 and 18 August 2018, the financial bids submitted by the bidders for various GAs were opened by the Board.</w:t>
      </w:r>
    </w:p>
    <w:p w:rsidR="008215AB" w:rsidRDefault="008215AB">
      <w:pPr>
        <w:pStyle w:val="BodyText"/>
        <w:spacing w:before="10"/>
        <w:rPr>
          <w:sz w:val="24"/>
        </w:rPr>
      </w:pPr>
    </w:p>
    <w:p w:rsidR="008215AB" w:rsidRDefault="006513FA">
      <w:pPr>
        <w:pStyle w:val="ListParagraph"/>
        <w:numPr>
          <w:ilvl w:val="0"/>
          <w:numId w:val="8"/>
        </w:numPr>
        <w:tabs>
          <w:tab w:val="left" w:pos="1221"/>
        </w:tabs>
        <w:spacing w:line="480" w:lineRule="auto"/>
        <w:ind w:right="113" w:firstLine="0"/>
        <w:jc w:val="both"/>
        <w:rPr>
          <w:sz w:val="25"/>
        </w:rPr>
      </w:pPr>
      <w:r>
        <w:rPr>
          <w:sz w:val="25"/>
        </w:rPr>
        <w:t>The Board Note of 23 July 2018 adopted the Census 2011 data on the total number of households as the basis for computing the min</w:t>
      </w:r>
      <w:r>
        <w:rPr>
          <w:sz w:val="25"/>
        </w:rPr>
        <w:t>imum and maximum limits for the purpose of determining unreasonably low or unreasonably high quotes. The Board Note stipulated that 2 per cent of the total households in terms of the Census 2011 data would be regarded as the minimum quote. Anything below 2</w:t>
      </w:r>
      <w:r>
        <w:rPr>
          <w:sz w:val="25"/>
        </w:rPr>
        <w:t xml:space="preserve"> per cent would be considered unreasonably low. Similarly, on the upper end of the spectrum, the Board Note proposed that 100 per cent of the total households in terms of the Census 2011 data would be regarded as the maximum. A quotation beyond this upper </w:t>
      </w:r>
      <w:r>
        <w:rPr>
          <w:sz w:val="25"/>
        </w:rPr>
        <w:t>limit would be construed to be unreasonably high. Now, two features of the note of the Board Note dated 23 July 2018 must be noted. First, the Board Note was generated after the last date for the submission of bids. Second, the Board Note was an internal d</w:t>
      </w:r>
      <w:r>
        <w:rPr>
          <w:sz w:val="25"/>
        </w:rPr>
        <w:t>ocument of the Board which was not notified to the</w:t>
      </w:r>
      <w:r>
        <w:rPr>
          <w:spacing w:val="-1"/>
          <w:sz w:val="25"/>
        </w:rPr>
        <w:t xml:space="preserve"> </w:t>
      </w:r>
      <w:r>
        <w:rPr>
          <w:sz w:val="25"/>
        </w:rPr>
        <w:t>bidders.</w:t>
      </w:r>
    </w:p>
    <w:p w:rsidR="008215AB" w:rsidRDefault="008215AB">
      <w:pPr>
        <w:pStyle w:val="BodyText"/>
        <w:spacing w:before="4"/>
      </w:pPr>
    </w:p>
    <w:p w:rsidR="008215AB" w:rsidRDefault="006513FA">
      <w:pPr>
        <w:pStyle w:val="ListParagraph"/>
        <w:numPr>
          <w:ilvl w:val="0"/>
          <w:numId w:val="8"/>
        </w:numPr>
        <w:tabs>
          <w:tab w:val="left" w:pos="1221"/>
        </w:tabs>
        <w:spacing w:line="480" w:lineRule="auto"/>
        <w:ind w:right="114" w:firstLine="0"/>
        <w:jc w:val="both"/>
        <w:rPr>
          <w:sz w:val="25"/>
        </w:rPr>
      </w:pPr>
      <w:r>
        <w:rPr>
          <w:sz w:val="25"/>
        </w:rPr>
        <w:t xml:space="preserve">The Board commenced the process of opening </w:t>
      </w:r>
      <w:r>
        <w:rPr>
          <w:spacing w:val="2"/>
          <w:sz w:val="25"/>
        </w:rPr>
        <w:t xml:space="preserve">the </w:t>
      </w:r>
      <w:r>
        <w:rPr>
          <w:sz w:val="25"/>
        </w:rPr>
        <w:t>financial bids on 24 July 2018. On 2 August 2018, an agenda note was prepared for the Board. The agenda note outlined that three BECs were nominated</w:t>
      </w:r>
      <w:r>
        <w:rPr>
          <w:sz w:val="25"/>
        </w:rPr>
        <w:t xml:space="preserve"> for evaluating the </w:t>
      </w:r>
      <w:r>
        <w:rPr>
          <w:spacing w:val="2"/>
          <w:sz w:val="25"/>
        </w:rPr>
        <w:t xml:space="preserve">bids </w:t>
      </w:r>
      <w:r>
        <w:rPr>
          <w:sz w:val="25"/>
        </w:rPr>
        <w:t xml:space="preserve">received. Technical bids submitted by the bidders were evaluated by ICF, a consultant, based on the requirements of the Regulations and the Bid Documents. A summary sheet of the technical bid evaluation was prepared and checked by </w:t>
      </w:r>
      <w:r>
        <w:rPr>
          <w:sz w:val="25"/>
        </w:rPr>
        <w:t>the BEC. Thirty-eight entities had submitted bids against 86</w:t>
      </w:r>
      <w:r>
        <w:rPr>
          <w:spacing w:val="-5"/>
          <w:sz w:val="25"/>
        </w:rPr>
        <w:t xml:space="preserve"> </w:t>
      </w:r>
      <w:r>
        <w:rPr>
          <w:sz w:val="25"/>
        </w:rPr>
        <w:t>GAs.</w:t>
      </w:r>
    </w:p>
    <w:p w:rsidR="008215AB" w:rsidRDefault="008215AB">
      <w:pPr>
        <w:spacing w:line="480" w:lineRule="auto"/>
        <w:jc w:val="both"/>
        <w:rPr>
          <w:sz w:val="25"/>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3"/>
        <w:jc w:val="both"/>
      </w:pPr>
      <w:r>
        <w:t xml:space="preserve">The financial bids of technically eligible bidders were recommended for opening. The agenda note dated 2 August 2018 spelt out the stipulation contained in paragraph 4.4.1 of the Bid Document, and of the previous decision of the Board, to adopt 2 per cent </w:t>
      </w:r>
      <w:r>
        <w:t>of the total households as the minimum and 100 per cent as the maximum, both on the basis of 2011 Census data. The agenda note contained a tabulation of the bids of technically qualified entities. The agenda note indicated that for four GAs: 35, 46, 48 and</w:t>
      </w:r>
      <w:r>
        <w:t xml:space="preserve"> 49 where two bids had been received for each, the highest bidder had quoted an unreasonably low number of projected PNG connections at the end of eight contract years. Where the bid below 2 per cent was the sole bid for the GA, the bid was accepted as the</w:t>
      </w:r>
      <w:r>
        <w:t xml:space="preserve"> GA </w:t>
      </w:r>
      <w:r>
        <w:rPr>
          <w:spacing w:val="-1"/>
          <w:w w:val="99"/>
        </w:rPr>
        <w:t>w</w:t>
      </w:r>
      <w:r>
        <w:rPr>
          <w:w w:val="99"/>
        </w:rPr>
        <w:t>ould</w:t>
      </w:r>
      <w:r>
        <w:t xml:space="preserve"> </w:t>
      </w:r>
      <w:r>
        <w:rPr>
          <w:spacing w:val="-14"/>
        </w:rPr>
        <w:t xml:space="preserve"> </w:t>
      </w:r>
      <w:r>
        <w:rPr>
          <w:w w:val="99"/>
        </w:rPr>
        <w:t>ha</w:t>
      </w:r>
      <w:r>
        <w:rPr>
          <w:spacing w:val="-3"/>
          <w:w w:val="99"/>
        </w:rPr>
        <w:t>v</w:t>
      </w:r>
      <w:r>
        <w:rPr>
          <w:w w:val="99"/>
        </w:rPr>
        <w:t>e</w:t>
      </w:r>
      <w:r>
        <w:t xml:space="preserve"> </w:t>
      </w:r>
      <w:r>
        <w:rPr>
          <w:spacing w:val="-14"/>
        </w:rPr>
        <w:t xml:space="preserve"> </w:t>
      </w:r>
      <w:r>
        <w:rPr>
          <w:w w:val="99"/>
        </w:rPr>
        <w:t>gone</w:t>
      </w:r>
      <w:r>
        <w:t xml:space="preserve"> </w:t>
      </w:r>
      <w:r>
        <w:rPr>
          <w:spacing w:val="-13"/>
        </w:rPr>
        <w:t xml:space="preserve"> </w:t>
      </w:r>
      <w:r>
        <w:rPr>
          <w:spacing w:val="-1"/>
          <w:w w:val="40"/>
        </w:rPr>
        <w:t>‗</w:t>
      </w:r>
      <w:r>
        <w:rPr>
          <w:w w:val="99"/>
        </w:rPr>
        <w:t>d</w:t>
      </w:r>
      <w:r>
        <w:rPr>
          <w:spacing w:val="1"/>
          <w:w w:val="99"/>
        </w:rPr>
        <w:t>r</w:t>
      </w:r>
      <w:r>
        <w:rPr>
          <w:spacing w:val="-2"/>
          <w:w w:val="99"/>
        </w:rPr>
        <w:t>y</w:t>
      </w:r>
      <w:r>
        <w:rPr>
          <w:w w:val="99"/>
        </w:rPr>
        <w:t>‘</w:t>
      </w:r>
      <w:r>
        <w:t xml:space="preserve"> </w:t>
      </w:r>
      <w:r>
        <w:rPr>
          <w:spacing w:val="-15"/>
        </w:rPr>
        <w:t xml:space="preserve"> </w:t>
      </w:r>
      <w:r>
        <w:rPr>
          <w:w w:val="99"/>
        </w:rPr>
        <w:t>othe</w:t>
      </w:r>
      <w:r>
        <w:rPr>
          <w:spacing w:val="1"/>
          <w:w w:val="99"/>
        </w:rPr>
        <w:t>r</w:t>
      </w:r>
      <w:r>
        <w:rPr>
          <w:w w:val="99"/>
        </w:rPr>
        <w:t>wise.</w:t>
      </w:r>
      <w:r>
        <w:t xml:space="preserve"> </w:t>
      </w:r>
      <w:r>
        <w:rPr>
          <w:spacing w:val="-14"/>
        </w:rPr>
        <w:t xml:space="preserve"> </w:t>
      </w:r>
      <w:r>
        <w:rPr>
          <w:w w:val="99"/>
        </w:rPr>
        <w:t>The</w:t>
      </w:r>
      <w:r>
        <w:t xml:space="preserve"> </w:t>
      </w:r>
      <w:r>
        <w:rPr>
          <w:spacing w:val="-14"/>
        </w:rPr>
        <w:t xml:space="preserve"> </w:t>
      </w:r>
      <w:r>
        <w:rPr>
          <w:w w:val="99"/>
        </w:rPr>
        <w:t>agenda</w:t>
      </w:r>
      <w:r>
        <w:t xml:space="preserve"> </w:t>
      </w:r>
      <w:r>
        <w:rPr>
          <w:spacing w:val="-14"/>
        </w:rPr>
        <w:t xml:space="preserve"> </w:t>
      </w:r>
      <w:r>
        <w:rPr>
          <w:w w:val="99"/>
        </w:rPr>
        <w:t>note</w:t>
      </w:r>
      <w:r>
        <w:t xml:space="preserve"> </w:t>
      </w:r>
      <w:r>
        <w:rPr>
          <w:spacing w:val="-14"/>
        </w:rPr>
        <w:t xml:space="preserve"> </w:t>
      </w:r>
      <w:r>
        <w:rPr>
          <w:w w:val="99"/>
        </w:rPr>
        <w:t>p</w:t>
      </w:r>
      <w:r>
        <w:rPr>
          <w:spacing w:val="1"/>
          <w:w w:val="99"/>
        </w:rPr>
        <w:t>r</w:t>
      </w:r>
      <w:r>
        <w:rPr>
          <w:w w:val="99"/>
        </w:rPr>
        <w:t>oposed</w:t>
      </w:r>
      <w:r>
        <w:t xml:space="preserve"> </w:t>
      </w:r>
      <w:r>
        <w:rPr>
          <w:spacing w:val="-17"/>
        </w:rPr>
        <w:t xml:space="preserve"> </w:t>
      </w:r>
      <w:r>
        <w:rPr>
          <w:w w:val="99"/>
        </w:rPr>
        <w:t>the</w:t>
      </w:r>
      <w:r>
        <w:t xml:space="preserve"> </w:t>
      </w:r>
      <w:r>
        <w:rPr>
          <w:spacing w:val="-14"/>
        </w:rPr>
        <w:t xml:space="preserve"> </w:t>
      </w:r>
      <w:r>
        <w:rPr>
          <w:w w:val="99"/>
        </w:rPr>
        <w:t>adoption</w:t>
      </w:r>
      <w:r>
        <w:t xml:space="preserve"> </w:t>
      </w:r>
      <w:r>
        <w:rPr>
          <w:spacing w:val="-14"/>
        </w:rPr>
        <w:t xml:space="preserve"> </w:t>
      </w:r>
      <w:r>
        <w:rPr>
          <w:spacing w:val="-2"/>
          <w:w w:val="99"/>
        </w:rPr>
        <w:t>o</w:t>
      </w:r>
      <w:r>
        <w:rPr>
          <w:w w:val="99"/>
        </w:rPr>
        <w:t xml:space="preserve">f </w:t>
      </w:r>
      <w:r>
        <w:t>three courses of action with respect to the remaining</w:t>
      </w:r>
      <w:r>
        <w:rPr>
          <w:spacing w:val="-4"/>
        </w:rPr>
        <w:t xml:space="preserve"> </w:t>
      </w:r>
      <w:r>
        <w:t>bids:</w:t>
      </w:r>
    </w:p>
    <w:p w:rsidR="008215AB" w:rsidRDefault="006513FA">
      <w:pPr>
        <w:pStyle w:val="ListParagraph"/>
        <w:numPr>
          <w:ilvl w:val="1"/>
          <w:numId w:val="8"/>
        </w:numPr>
        <w:tabs>
          <w:tab w:val="left" w:pos="1940"/>
          <w:tab w:val="left" w:pos="1941"/>
        </w:tabs>
        <w:spacing w:before="241" w:line="480" w:lineRule="auto"/>
        <w:ind w:right="118"/>
        <w:rPr>
          <w:sz w:val="25"/>
        </w:rPr>
      </w:pPr>
      <w:r>
        <w:rPr>
          <w:sz w:val="25"/>
        </w:rPr>
        <w:t>Rejection of the bids received for the above four GAs as being unreasonably</w:t>
      </w:r>
      <w:r>
        <w:rPr>
          <w:spacing w:val="-4"/>
          <w:sz w:val="25"/>
        </w:rPr>
        <w:t xml:space="preserve"> </w:t>
      </w:r>
      <w:r>
        <w:rPr>
          <w:sz w:val="25"/>
        </w:rPr>
        <w:t>low;</w:t>
      </w:r>
    </w:p>
    <w:p w:rsidR="008215AB" w:rsidRDefault="006513FA">
      <w:pPr>
        <w:pStyle w:val="ListParagraph"/>
        <w:numPr>
          <w:ilvl w:val="1"/>
          <w:numId w:val="8"/>
        </w:numPr>
        <w:tabs>
          <w:tab w:val="left" w:pos="1940"/>
          <w:tab w:val="left" w:pos="1941"/>
        </w:tabs>
        <w:spacing w:before="240" w:line="480" w:lineRule="auto"/>
        <w:ind w:right="123"/>
        <w:rPr>
          <w:sz w:val="25"/>
        </w:rPr>
      </w:pPr>
      <w:r>
        <w:rPr>
          <w:sz w:val="25"/>
        </w:rPr>
        <w:t>Acceptance of the bids for the four GAs by extending to them the same logic that was applied for single bid GAs;</w:t>
      </w:r>
      <w:r>
        <w:rPr>
          <w:spacing w:val="-9"/>
          <w:sz w:val="25"/>
        </w:rPr>
        <w:t xml:space="preserve"> </w:t>
      </w:r>
      <w:r>
        <w:rPr>
          <w:sz w:val="25"/>
        </w:rPr>
        <w:t>or</w:t>
      </w:r>
    </w:p>
    <w:p w:rsidR="008215AB" w:rsidRDefault="006513FA">
      <w:pPr>
        <w:pStyle w:val="ListParagraph"/>
        <w:numPr>
          <w:ilvl w:val="1"/>
          <w:numId w:val="8"/>
        </w:numPr>
        <w:tabs>
          <w:tab w:val="left" w:pos="1940"/>
          <w:tab w:val="left" w:pos="1941"/>
        </w:tabs>
        <w:spacing w:before="240" w:line="480" w:lineRule="auto"/>
        <w:ind w:right="124"/>
        <w:rPr>
          <w:sz w:val="25"/>
        </w:rPr>
      </w:pPr>
      <w:r>
        <w:rPr>
          <w:sz w:val="25"/>
        </w:rPr>
        <w:t>Inviting the concerned entities with the highest scores for each of the GAs for negotiation to improve the quoted work</w:t>
      </w:r>
      <w:r>
        <w:rPr>
          <w:spacing w:val="-12"/>
          <w:sz w:val="25"/>
        </w:rPr>
        <w:t xml:space="preserve"> </w:t>
      </w:r>
      <w:r>
        <w:rPr>
          <w:sz w:val="25"/>
        </w:rPr>
        <w:t>programme.</w:t>
      </w:r>
    </w:p>
    <w:p w:rsidR="008215AB" w:rsidRDefault="008215AB">
      <w:pPr>
        <w:pStyle w:val="BodyText"/>
      </w:pPr>
    </w:p>
    <w:p w:rsidR="008215AB" w:rsidRDefault="006513FA">
      <w:pPr>
        <w:pStyle w:val="ListParagraph"/>
        <w:numPr>
          <w:ilvl w:val="0"/>
          <w:numId w:val="8"/>
        </w:numPr>
        <w:tabs>
          <w:tab w:val="left" w:pos="1221"/>
        </w:tabs>
        <w:spacing w:line="480" w:lineRule="auto"/>
        <w:ind w:right="118" w:firstLine="0"/>
        <w:jc w:val="both"/>
        <w:rPr>
          <w:sz w:val="25"/>
        </w:rPr>
      </w:pPr>
      <w:r>
        <w:rPr>
          <w:sz w:val="25"/>
        </w:rPr>
        <w:t>The agend</w:t>
      </w:r>
      <w:r>
        <w:rPr>
          <w:sz w:val="25"/>
        </w:rPr>
        <w:t>a note dated 2 August 2018 was presented before the Board for deliberation on 3 August 2018. In its meeting, the Board accepted the proposal for the issuance of LOIs to entities of 48 GAs mentioned in table 3 of the agenda note.</w:t>
      </w:r>
      <w:r>
        <w:rPr>
          <w:spacing w:val="13"/>
          <w:sz w:val="25"/>
        </w:rPr>
        <w:t xml:space="preserve"> </w:t>
      </w:r>
      <w:r>
        <w:rPr>
          <w:sz w:val="25"/>
        </w:rPr>
        <w:t>The</w:t>
      </w:r>
      <w:r>
        <w:rPr>
          <w:spacing w:val="13"/>
          <w:sz w:val="25"/>
        </w:rPr>
        <w:t xml:space="preserve"> </w:t>
      </w:r>
      <w:r>
        <w:rPr>
          <w:sz w:val="25"/>
        </w:rPr>
        <w:t>proposal</w:t>
      </w:r>
      <w:r>
        <w:rPr>
          <w:spacing w:val="13"/>
          <w:sz w:val="25"/>
        </w:rPr>
        <w:t xml:space="preserve"> </w:t>
      </w:r>
      <w:r>
        <w:rPr>
          <w:sz w:val="25"/>
        </w:rPr>
        <w:t>to</w:t>
      </w:r>
      <w:r>
        <w:rPr>
          <w:spacing w:val="14"/>
          <w:sz w:val="25"/>
        </w:rPr>
        <w:t xml:space="preserve"> </w:t>
      </w:r>
      <w:r>
        <w:rPr>
          <w:sz w:val="25"/>
        </w:rPr>
        <w:t>invite</w:t>
      </w:r>
      <w:r>
        <w:rPr>
          <w:spacing w:val="13"/>
          <w:sz w:val="25"/>
        </w:rPr>
        <w:t xml:space="preserve"> </w:t>
      </w:r>
      <w:r>
        <w:rPr>
          <w:sz w:val="25"/>
        </w:rPr>
        <w:t>entities</w:t>
      </w:r>
      <w:r>
        <w:rPr>
          <w:spacing w:val="15"/>
          <w:sz w:val="25"/>
        </w:rPr>
        <w:t xml:space="preserve"> </w:t>
      </w:r>
      <w:r>
        <w:rPr>
          <w:sz w:val="25"/>
        </w:rPr>
        <w:t>with</w:t>
      </w:r>
      <w:r>
        <w:rPr>
          <w:spacing w:val="13"/>
          <w:sz w:val="25"/>
        </w:rPr>
        <w:t xml:space="preserve"> </w:t>
      </w:r>
      <w:r>
        <w:rPr>
          <w:sz w:val="25"/>
        </w:rPr>
        <w:t>the</w:t>
      </w:r>
      <w:r>
        <w:rPr>
          <w:spacing w:val="14"/>
          <w:sz w:val="25"/>
        </w:rPr>
        <w:t xml:space="preserve"> </w:t>
      </w:r>
      <w:r>
        <w:rPr>
          <w:sz w:val="25"/>
        </w:rPr>
        <w:t>highest</w:t>
      </w:r>
      <w:r>
        <w:rPr>
          <w:spacing w:val="13"/>
          <w:sz w:val="25"/>
        </w:rPr>
        <w:t xml:space="preserve"> </w:t>
      </w:r>
      <w:r>
        <w:rPr>
          <w:sz w:val="25"/>
        </w:rPr>
        <w:t>scores</w:t>
      </w:r>
      <w:r>
        <w:rPr>
          <w:spacing w:val="13"/>
          <w:sz w:val="25"/>
        </w:rPr>
        <w:t xml:space="preserve"> </w:t>
      </w:r>
      <w:r>
        <w:rPr>
          <w:sz w:val="25"/>
        </w:rPr>
        <w:t>which</w:t>
      </w:r>
      <w:r>
        <w:rPr>
          <w:spacing w:val="13"/>
          <w:sz w:val="25"/>
        </w:rPr>
        <w:t xml:space="preserve"> </w:t>
      </w:r>
      <w:r>
        <w:rPr>
          <w:sz w:val="25"/>
        </w:rPr>
        <w:t>had</w:t>
      </w:r>
      <w:r>
        <w:rPr>
          <w:spacing w:val="14"/>
          <w:sz w:val="25"/>
        </w:rPr>
        <w:t xml:space="preserve"> </w:t>
      </w:r>
      <w:r>
        <w:rPr>
          <w:sz w:val="25"/>
        </w:rPr>
        <w:t>submitted</w:t>
      </w:r>
    </w:p>
    <w:p w:rsidR="008215AB" w:rsidRDefault="006513FA">
      <w:pPr>
        <w:pStyle w:val="BodyText"/>
        <w:spacing w:line="287" w:lineRule="exact"/>
        <w:ind w:left="500"/>
        <w:jc w:val="both"/>
      </w:pPr>
      <w:r>
        <w:t>unreasonably</w:t>
      </w:r>
      <w:r>
        <w:rPr>
          <w:spacing w:val="26"/>
        </w:rPr>
        <w:t xml:space="preserve"> </w:t>
      </w:r>
      <w:r>
        <w:t>low</w:t>
      </w:r>
      <w:r>
        <w:rPr>
          <w:spacing w:val="30"/>
        </w:rPr>
        <w:t xml:space="preserve"> </w:t>
      </w:r>
      <w:r>
        <w:t>bids</w:t>
      </w:r>
      <w:r>
        <w:rPr>
          <w:spacing w:val="30"/>
        </w:rPr>
        <w:t xml:space="preserve"> </w:t>
      </w:r>
      <w:r>
        <w:t>for</w:t>
      </w:r>
      <w:r>
        <w:rPr>
          <w:spacing w:val="31"/>
        </w:rPr>
        <w:t xml:space="preserve"> </w:t>
      </w:r>
      <w:r>
        <w:t>each</w:t>
      </w:r>
      <w:r>
        <w:rPr>
          <w:spacing w:val="30"/>
        </w:rPr>
        <w:t xml:space="preserve"> </w:t>
      </w:r>
      <w:r>
        <w:t>of</w:t>
      </w:r>
      <w:r>
        <w:rPr>
          <w:spacing w:val="30"/>
        </w:rPr>
        <w:t xml:space="preserve"> </w:t>
      </w:r>
      <w:r>
        <w:t>the</w:t>
      </w:r>
      <w:r>
        <w:rPr>
          <w:spacing w:val="30"/>
        </w:rPr>
        <w:t xml:space="preserve"> </w:t>
      </w:r>
      <w:r>
        <w:t>GAs</w:t>
      </w:r>
      <w:r>
        <w:rPr>
          <w:spacing w:val="29"/>
        </w:rPr>
        <w:t xml:space="preserve"> </w:t>
      </w:r>
      <w:r>
        <w:t>for</w:t>
      </w:r>
      <w:r>
        <w:rPr>
          <w:spacing w:val="31"/>
        </w:rPr>
        <w:t xml:space="preserve"> </w:t>
      </w:r>
      <w:r>
        <w:t>negotiations</w:t>
      </w:r>
      <w:r>
        <w:rPr>
          <w:spacing w:val="30"/>
        </w:rPr>
        <w:t xml:space="preserve"> </w:t>
      </w:r>
      <w:r>
        <w:t>and</w:t>
      </w:r>
      <w:r>
        <w:rPr>
          <w:spacing w:val="30"/>
        </w:rPr>
        <w:t xml:space="preserve"> </w:t>
      </w:r>
      <w:r>
        <w:t>to</w:t>
      </w:r>
      <w:r>
        <w:rPr>
          <w:spacing w:val="30"/>
        </w:rPr>
        <w:t xml:space="preserve"> </w:t>
      </w:r>
      <w:r>
        <w:t>improve</w:t>
      </w:r>
      <w:r>
        <w:rPr>
          <w:spacing w:val="30"/>
        </w:rPr>
        <w:t xml:space="preserve"> </w:t>
      </w:r>
      <w:r>
        <w:t>the</w:t>
      </w:r>
    </w:p>
    <w:p w:rsidR="008215AB" w:rsidRDefault="008215AB">
      <w:pPr>
        <w:spacing w:line="287" w:lineRule="exact"/>
        <w:jc w:val="both"/>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6"/>
        <w:jc w:val="both"/>
      </w:pPr>
      <w:r>
        <w:t>quoted work programme was approved. Accordingly, on 3 August 2018, the Board issued a press release recordi</w:t>
      </w:r>
      <w:r>
        <w:t xml:space="preserve">ng that it had approved the issuance of </w:t>
      </w:r>
      <w:r>
        <w:rPr>
          <w:spacing w:val="2"/>
        </w:rPr>
        <w:t xml:space="preserve">LOIs </w:t>
      </w:r>
      <w:r>
        <w:t>to 18 successful bidders for 48 GAs. The press release indicated that the remaining GAs were being evaluated and the outcome would be notified</w:t>
      </w:r>
      <w:r>
        <w:rPr>
          <w:spacing w:val="-19"/>
        </w:rPr>
        <w:t xml:space="preserve"> </w:t>
      </w:r>
      <w:r>
        <w:t>shortly.</w:t>
      </w:r>
    </w:p>
    <w:p w:rsidR="008215AB" w:rsidRDefault="008215AB">
      <w:pPr>
        <w:pStyle w:val="BodyText"/>
        <w:spacing w:before="11"/>
        <w:rPr>
          <w:sz w:val="24"/>
        </w:rPr>
      </w:pPr>
    </w:p>
    <w:p w:rsidR="008215AB" w:rsidRDefault="006513FA">
      <w:pPr>
        <w:pStyle w:val="ListParagraph"/>
        <w:numPr>
          <w:ilvl w:val="0"/>
          <w:numId w:val="8"/>
        </w:numPr>
        <w:tabs>
          <w:tab w:val="left" w:pos="1221"/>
        </w:tabs>
        <w:spacing w:line="480" w:lineRule="auto"/>
        <w:ind w:right="112" w:firstLine="0"/>
        <w:jc w:val="both"/>
        <w:rPr>
          <w:sz w:val="25"/>
        </w:rPr>
      </w:pPr>
      <w:r>
        <w:rPr>
          <w:sz w:val="25"/>
        </w:rPr>
        <w:t>On 9 August 2018, an agenda note was issued by the Board n</w:t>
      </w:r>
      <w:r>
        <w:rPr>
          <w:sz w:val="25"/>
        </w:rPr>
        <w:t>oting that in pursuance of the decisions which were taken by the Board on 3 August 2018, letters have been addressed to the entities which had obtained the highest composite score but had quoted unreasonably low PNG connections, to confirm their acceptance</w:t>
      </w:r>
      <w:r>
        <w:rPr>
          <w:sz w:val="25"/>
        </w:rPr>
        <w:t xml:space="preserve"> of the minimum requirement of 2 per cent of households as per the 2011 Census data. Table 5 to the agenda note contained a tabulation of bids which were liable to be rejected due to unreasonably high or as the case may </w:t>
      </w:r>
      <w:r>
        <w:rPr>
          <w:spacing w:val="3"/>
          <w:sz w:val="25"/>
        </w:rPr>
        <w:t xml:space="preserve">be, </w:t>
      </w:r>
      <w:r>
        <w:rPr>
          <w:sz w:val="25"/>
        </w:rPr>
        <w:t>unreasonably low quotes. Among t</w:t>
      </w:r>
      <w:r>
        <w:rPr>
          <w:sz w:val="25"/>
        </w:rPr>
        <w:t>hese bids were the bids received from H1 bidders who had quoted unreasonably high PNG connections for the three GAs which form the subject matter of the present appeals. These</w:t>
      </w:r>
      <w:r>
        <w:rPr>
          <w:spacing w:val="-10"/>
          <w:sz w:val="25"/>
        </w:rPr>
        <w:t xml:space="preserve"> </w:t>
      </w:r>
      <w:r>
        <w:rPr>
          <w:sz w:val="25"/>
        </w:rPr>
        <w:t>were:</w:t>
      </w:r>
    </w:p>
    <w:p w:rsidR="008215AB" w:rsidRDefault="006513FA">
      <w:pPr>
        <w:spacing w:before="1" w:after="4"/>
        <w:ind w:left="1896" w:right="2496"/>
        <w:jc w:val="center"/>
        <w:rPr>
          <w:sz w:val="21"/>
        </w:rPr>
      </w:pPr>
      <w:r>
        <w:rPr>
          <w:spacing w:val="-1"/>
          <w:w w:val="33"/>
          <w:sz w:val="21"/>
        </w:rPr>
        <w:t>―</w:t>
      </w:r>
      <w:r>
        <w:rPr>
          <w:sz w:val="21"/>
        </w:rPr>
        <w:t>Ta</w:t>
      </w:r>
      <w:r>
        <w:rPr>
          <w:spacing w:val="-3"/>
          <w:sz w:val="21"/>
        </w:rPr>
        <w:t>b</w:t>
      </w:r>
      <w:r>
        <w:rPr>
          <w:sz w:val="21"/>
        </w:rPr>
        <w:t>le</w:t>
      </w:r>
      <w:r>
        <w:rPr>
          <w:spacing w:val="-1"/>
          <w:sz w:val="21"/>
        </w:rPr>
        <w:t xml:space="preserve"> </w:t>
      </w:r>
      <w:r>
        <w:rPr>
          <w:spacing w:val="-1"/>
          <w:sz w:val="21"/>
        </w:rPr>
        <w:t>-</w:t>
      </w:r>
      <w:r>
        <w:rPr>
          <w:sz w:val="21"/>
        </w:rPr>
        <w:t>5</w:t>
      </w: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5"/>
        <w:gridCol w:w="900"/>
        <w:gridCol w:w="1619"/>
        <w:gridCol w:w="1619"/>
        <w:gridCol w:w="1347"/>
        <w:gridCol w:w="1170"/>
      </w:tblGrid>
      <w:tr w:rsidR="008215AB">
        <w:trPr>
          <w:trHeight w:val="964"/>
        </w:trPr>
        <w:tc>
          <w:tcPr>
            <w:tcW w:w="835" w:type="dxa"/>
          </w:tcPr>
          <w:p w:rsidR="008215AB" w:rsidRDefault="008215AB">
            <w:pPr>
              <w:pStyle w:val="TableParagraph"/>
              <w:spacing w:before="4"/>
              <w:ind w:left="0"/>
              <w:rPr>
                <w:sz w:val="20"/>
              </w:rPr>
            </w:pPr>
          </w:p>
          <w:p w:rsidR="008215AB" w:rsidRDefault="006513FA">
            <w:pPr>
              <w:pStyle w:val="TableParagraph"/>
              <w:spacing w:before="1"/>
              <w:ind w:left="146"/>
              <w:rPr>
                <w:b/>
                <w:sz w:val="21"/>
              </w:rPr>
            </w:pPr>
            <w:r>
              <w:rPr>
                <w:b/>
                <w:sz w:val="21"/>
              </w:rPr>
              <w:t>Sl No</w:t>
            </w:r>
          </w:p>
        </w:tc>
        <w:tc>
          <w:tcPr>
            <w:tcW w:w="900" w:type="dxa"/>
          </w:tcPr>
          <w:p w:rsidR="008215AB" w:rsidRDefault="008215AB">
            <w:pPr>
              <w:pStyle w:val="TableParagraph"/>
              <w:spacing w:before="4"/>
              <w:ind w:left="0"/>
              <w:rPr>
                <w:sz w:val="20"/>
              </w:rPr>
            </w:pPr>
          </w:p>
          <w:p w:rsidR="008215AB" w:rsidRDefault="006513FA">
            <w:pPr>
              <w:pStyle w:val="TableParagraph"/>
              <w:spacing w:before="1"/>
              <w:ind w:left="290"/>
              <w:rPr>
                <w:b/>
                <w:sz w:val="21"/>
              </w:rPr>
            </w:pPr>
            <w:r>
              <w:rPr>
                <w:b/>
                <w:sz w:val="21"/>
              </w:rPr>
              <w:t>GA</w:t>
            </w:r>
          </w:p>
          <w:p w:rsidR="008215AB" w:rsidRDefault="006513FA">
            <w:pPr>
              <w:pStyle w:val="TableParagraph"/>
              <w:ind w:left="278"/>
              <w:rPr>
                <w:b/>
                <w:sz w:val="21"/>
              </w:rPr>
            </w:pPr>
            <w:r>
              <w:rPr>
                <w:b/>
                <w:sz w:val="21"/>
              </w:rPr>
              <w:t>No.</w:t>
            </w:r>
          </w:p>
        </w:tc>
        <w:tc>
          <w:tcPr>
            <w:tcW w:w="1619" w:type="dxa"/>
          </w:tcPr>
          <w:p w:rsidR="008215AB" w:rsidRDefault="008215AB">
            <w:pPr>
              <w:pStyle w:val="TableParagraph"/>
              <w:spacing w:before="4"/>
              <w:ind w:left="0"/>
              <w:rPr>
                <w:sz w:val="20"/>
              </w:rPr>
            </w:pPr>
          </w:p>
          <w:p w:rsidR="008215AB" w:rsidRDefault="006513FA">
            <w:pPr>
              <w:pStyle w:val="TableParagraph"/>
              <w:spacing w:before="1"/>
              <w:ind w:left="207"/>
              <w:rPr>
                <w:b/>
                <w:sz w:val="21"/>
              </w:rPr>
            </w:pPr>
            <w:r>
              <w:rPr>
                <w:b/>
                <w:sz w:val="21"/>
              </w:rPr>
              <w:t>Name of GA</w:t>
            </w:r>
          </w:p>
        </w:tc>
        <w:tc>
          <w:tcPr>
            <w:tcW w:w="1619" w:type="dxa"/>
          </w:tcPr>
          <w:p w:rsidR="008215AB" w:rsidRDefault="008215AB">
            <w:pPr>
              <w:pStyle w:val="TableParagraph"/>
              <w:spacing w:before="4"/>
              <w:ind w:left="0"/>
              <w:rPr>
                <w:sz w:val="20"/>
              </w:rPr>
            </w:pPr>
          </w:p>
          <w:p w:rsidR="008215AB" w:rsidRDefault="006513FA">
            <w:pPr>
              <w:pStyle w:val="TableParagraph"/>
              <w:spacing w:before="1" w:line="240" w:lineRule="atLeast"/>
              <w:ind w:left="428" w:right="383" w:hanging="36"/>
              <w:jc w:val="both"/>
              <w:rPr>
                <w:b/>
                <w:sz w:val="21"/>
              </w:rPr>
            </w:pPr>
            <w:r>
              <w:rPr>
                <w:b/>
                <w:sz w:val="21"/>
              </w:rPr>
              <w:t>Name of bidding entities</w:t>
            </w:r>
          </w:p>
        </w:tc>
        <w:tc>
          <w:tcPr>
            <w:tcW w:w="1347" w:type="dxa"/>
          </w:tcPr>
          <w:p w:rsidR="008215AB" w:rsidRDefault="008215AB">
            <w:pPr>
              <w:pStyle w:val="TableParagraph"/>
              <w:spacing w:before="4"/>
              <w:ind w:left="0"/>
              <w:rPr>
                <w:sz w:val="20"/>
              </w:rPr>
            </w:pPr>
          </w:p>
          <w:p w:rsidR="008215AB" w:rsidRDefault="006513FA">
            <w:pPr>
              <w:pStyle w:val="TableParagraph"/>
              <w:spacing w:before="1"/>
              <w:ind w:left="370"/>
              <w:rPr>
                <w:b/>
                <w:sz w:val="21"/>
              </w:rPr>
            </w:pPr>
            <w:r>
              <w:rPr>
                <w:b/>
                <w:sz w:val="21"/>
              </w:rPr>
              <w:t>Quote</w:t>
            </w:r>
          </w:p>
        </w:tc>
        <w:tc>
          <w:tcPr>
            <w:tcW w:w="1170" w:type="dxa"/>
          </w:tcPr>
          <w:p w:rsidR="008215AB" w:rsidRDefault="008215AB">
            <w:pPr>
              <w:pStyle w:val="TableParagraph"/>
              <w:spacing w:before="4"/>
              <w:ind w:left="0"/>
              <w:rPr>
                <w:sz w:val="20"/>
              </w:rPr>
            </w:pPr>
          </w:p>
          <w:p w:rsidR="008215AB" w:rsidRDefault="006513FA">
            <w:pPr>
              <w:pStyle w:val="TableParagraph"/>
              <w:spacing w:before="1"/>
              <w:ind w:left="144"/>
              <w:rPr>
                <w:b/>
                <w:sz w:val="21"/>
              </w:rPr>
            </w:pPr>
            <w:r>
              <w:rPr>
                <w:b/>
                <w:sz w:val="21"/>
              </w:rPr>
              <w:t>Remarks</w:t>
            </w:r>
          </w:p>
        </w:tc>
      </w:tr>
      <w:tr w:rsidR="008215AB">
        <w:trPr>
          <w:trHeight w:val="1932"/>
        </w:trPr>
        <w:tc>
          <w:tcPr>
            <w:tcW w:w="835"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11.</w:t>
            </w:r>
          </w:p>
        </w:tc>
        <w:tc>
          <w:tcPr>
            <w:tcW w:w="900" w:type="dxa"/>
          </w:tcPr>
          <w:p w:rsidR="008215AB" w:rsidRDefault="008215AB">
            <w:pPr>
              <w:pStyle w:val="TableParagraph"/>
              <w:spacing w:before="4"/>
              <w:ind w:left="0"/>
              <w:rPr>
                <w:sz w:val="20"/>
              </w:rPr>
            </w:pPr>
          </w:p>
          <w:p w:rsidR="008215AB" w:rsidRDefault="006513FA">
            <w:pPr>
              <w:pStyle w:val="TableParagraph"/>
              <w:spacing w:before="1"/>
              <w:ind w:left="105"/>
              <w:rPr>
                <w:sz w:val="21"/>
              </w:rPr>
            </w:pPr>
            <w:r>
              <w:rPr>
                <w:sz w:val="21"/>
              </w:rPr>
              <w:t>GA 61</w:t>
            </w:r>
          </w:p>
        </w:tc>
        <w:tc>
          <w:tcPr>
            <w:tcW w:w="1619" w:type="dxa"/>
          </w:tcPr>
          <w:p w:rsidR="008215AB" w:rsidRDefault="008215AB">
            <w:pPr>
              <w:pStyle w:val="TableParagraph"/>
              <w:spacing w:before="4"/>
              <w:ind w:left="0"/>
              <w:rPr>
                <w:sz w:val="20"/>
              </w:rPr>
            </w:pPr>
          </w:p>
          <w:p w:rsidR="008215AB" w:rsidRDefault="006513FA">
            <w:pPr>
              <w:pStyle w:val="TableParagraph"/>
              <w:spacing w:before="1"/>
              <w:ind w:left="106" w:right="245"/>
              <w:rPr>
                <w:sz w:val="21"/>
              </w:rPr>
            </w:pPr>
            <w:r>
              <w:rPr>
                <w:sz w:val="21"/>
              </w:rPr>
              <w:t>Kanchipuram District</w:t>
            </w:r>
          </w:p>
        </w:tc>
        <w:tc>
          <w:tcPr>
            <w:tcW w:w="1619" w:type="dxa"/>
          </w:tcPr>
          <w:p w:rsidR="008215AB" w:rsidRDefault="008215AB">
            <w:pPr>
              <w:pStyle w:val="TableParagraph"/>
              <w:spacing w:before="4"/>
              <w:ind w:left="0"/>
              <w:rPr>
                <w:sz w:val="20"/>
              </w:rPr>
            </w:pPr>
          </w:p>
          <w:p w:rsidR="008215AB" w:rsidRDefault="006513FA">
            <w:pPr>
              <w:pStyle w:val="TableParagraph"/>
              <w:spacing w:before="1"/>
              <w:ind w:right="93"/>
              <w:jc w:val="both"/>
              <w:rPr>
                <w:sz w:val="21"/>
              </w:rPr>
            </w:pPr>
            <w:r>
              <w:rPr>
                <w:sz w:val="21"/>
              </w:rPr>
              <w:t xml:space="preserve">Consortium </w:t>
            </w:r>
            <w:r>
              <w:rPr>
                <w:spacing w:val="-8"/>
                <w:sz w:val="21"/>
              </w:rPr>
              <w:t xml:space="preserve">of </w:t>
            </w:r>
            <w:r>
              <w:rPr>
                <w:sz w:val="21"/>
              </w:rPr>
              <w:t xml:space="preserve">AG&amp;P     </w:t>
            </w:r>
            <w:r>
              <w:rPr>
                <w:spacing w:val="41"/>
                <w:sz w:val="21"/>
              </w:rPr>
              <w:t xml:space="preserve"> </w:t>
            </w:r>
            <w:r>
              <w:rPr>
                <w:spacing w:val="-6"/>
                <w:sz w:val="21"/>
              </w:rPr>
              <w:t>LNG</w:t>
            </w:r>
          </w:p>
          <w:p w:rsidR="008215AB" w:rsidRDefault="006513FA">
            <w:pPr>
              <w:pStyle w:val="TableParagraph"/>
              <w:spacing w:before="2"/>
              <w:ind w:right="94"/>
              <w:jc w:val="both"/>
              <w:rPr>
                <w:sz w:val="21"/>
              </w:rPr>
            </w:pPr>
            <w:r>
              <w:rPr>
                <w:sz w:val="21"/>
              </w:rPr>
              <w:t xml:space="preserve">Marketing </w:t>
            </w:r>
            <w:r>
              <w:rPr>
                <w:spacing w:val="-6"/>
                <w:sz w:val="21"/>
              </w:rPr>
              <w:t xml:space="preserve">Pte </w:t>
            </w:r>
            <w:r>
              <w:rPr>
                <w:sz w:val="21"/>
              </w:rPr>
              <w:t xml:space="preserve">Ltd. &amp; </w:t>
            </w:r>
            <w:r>
              <w:rPr>
                <w:spacing w:val="-3"/>
                <w:sz w:val="21"/>
              </w:rPr>
              <w:t xml:space="preserve">Atlantic </w:t>
            </w:r>
            <w:r>
              <w:rPr>
                <w:sz w:val="21"/>
              </w:rPr>
              <w:t xml:space="preserve">Gulf &amp; </w:t>
            </w:r>
            <w:r>
              <w:rPr>
                <w:spacing w:val="-3"/>
                <w:sz w:val="21"/>
              </w:rPr>
              <w:t xml:space="preserve">Pacific </w:t>
            </w:r>
            <w:r>
              <w:rPr>
                <w:sz w:val="21"/>
              </w:rPr>
              <w:t xml:space="preserve">Company    </w:t>
            </w:r>
            <w:r>
              <w:rPr>
                <w:spacing w:val="40"/>
                <w:sz w:val="21"/>
              </w:rPr>
              <w:t xml:space="preserve"> </w:t>
            </w:r>
            <w:r>
              <w:rPr>
                <w:spacing w:val="-9"/>
                <w:sz w:val="21"/>
              </w:rPr>
              <w:t>of</w:t>
            </w:r>
          </w:p>
          <w:p w:rsidR="008215AB" w:rsidRDefault="006513FA">
            <w:pPr>
              <w:pStyle w:val="TableParagraph"/>
              <w:spacing w:line="226" w:lineRule="exact"/>
              <w:jc w:val="both"/>
              <w:rPr>
                <w:sz w:val="21"/>
              </w:rPr>
            </w:pPr>
            <w:r>
              <w:rPr>
                <w:sz w:val="21"/>
              </w:rPr>
              <w:t>Manila Inc.</w:t>
            </w:r>
          </w:p>
        </w:tc>
        <w:tc>
          <w:tcPr>
            <w:tcW w:w="1347" w:type="dxa"/>
          </w:tcPr>
          <w:p w:rsidR="008215AB" w:rsidRDefault="008215AB">
            <w:pPr>
              <w:pStyle w:val="TableParagraph"/>
              <w:spacing w:before="4"/>
              <w:ind w:left="0"/>
              <w:rPr>
                <w:sz w:val="20"/>
              </w:rPr>
            </w:pPr>
          </w:p>
          <w:p w:rsidR="008215AB" w:rsidRDefault="006513FA">
            <w:pPr>
              <w:pStyle w:val="TableParagraph"/>
              <w:tabs>
                <w:tab w:val="left" w:pos="1041"/>
              </w:tabs>
              <w:spacing w:before="1"/>
              <w:ind w:left="108" w:right="93"/>
              <w:rPr>
                <w:b/>
                <w:sz w:val="21"/>
              </w:rPr>
            </w:pPr>
            <w:r>
              <w:rPr>
                <w:b/>
                <w:sz w:val="21"/>
              </w:rPr>
              <w:t>114%</w:t>
            </w:r>
            <w:r>
              <w:rPr>
                <w:b/>
                <w:sz w:val="21"/>
              </w:rPr>
              <w:tab/>
            </w:r>
            <w:r>
              <w:rPr>
                <w:b/>
                <w:spacing w:val="-9"/>
                <w:sz w:val="21"/>
              </w:rPr>
              <w:t xml:space="preserve">of </w:t>
            </w:r>
            <w:r>
              <w:rPr>
                <w:b/>
                <w:sz w:val="21"/>
              </w:rPr>
              <w:t>total</w:t>
            </w:r>
            <w:r>
              <w:rPr>
                <w:b/>
                <w:spacing w:val="-2"/>
                <w:sz w:val="21"/>
              </w:rPr>
              <w:t xml:space="preserve"> </w:t>
            </w:r>
            <w:r>
              <w:rPr>
                <w:b/>
                <w:sz w:val="21"/>
              </w:rPr>
              <w:t>HH</w:t>
            </w:r>
          </w:p>
        </w:tc>
        <w:tc>
          <w:tcPr>
            <w:tcW w:w="1170" w:type="dxa"/>
          </w:tcPr>
          <w:p w:rsidR="008215AB" w:rsidRDefault="008215AB">
            <w:pPr>
              <w:pStyle w:val="TableParagraph"/>
              <w:spacing w:before="4"/>
              <w:ind w:left="0"/>
              <w:rPr>
                <w:sz w:val="20"/>
              </w:rPr>
            </w:pPr>
          </w:p>
          <w:p w:rsidR="008215AB" w:rsidRDefault="006513FA">
            <w:pPr>
              <w:pStyle w:val="TableParagraph"/>
              <w:spacing w:before="1"/>
              <w:ind w:left="112" w:right="89"/>
              <w:jc w:val="both"/>
              <w:rPr>
                <w:sz w:val="21"/>
              </w:rPr>
            </w:pPr>
            <w:r>
              <w:rPr>
                <w:sz w:val="21"/>
              </w:rPr>
              <w:t>7 other valid bids remains</w:t>
            </w:r>
          </w:p>
        </w:tc>
      </w:tr>
      <w:tr w:rsidR="008215AB">
        <w:trPr>
          <w:trHeight w:val="964"/>
        </w:trPr>
        <w:tc>
          <w:tcPr>
            <w:tcW w:w="835"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12.</w:t>
            </w:r>
          </w:p>
        </w:tc>
        <w:tc>
          <w:tcPr>
            <w:tcW w:w="900" w:type="dxa"/>
          </w:tcPr>
          <w:p w:rsidR="008215AB" w:rsidRDefault="008215AB">
            <w:pPr>
              <w:pStyle w:val="TableParagraph"/>
              <w:spacing w:before="4"/>
              <w:ind w:left="0"/>
              <w:rPr>
                <w:sz w:val="20"/>
              </w:rPr>
            </w:pPr>
          </w:p>
          <w:p w:rsidR="008215AB" w:rsidRDefault="006513FA">
            <w:pPr>
              <w:pStyle w:val="TableParagraph"/>
              <w:spacing w:before="1"/>
              <w:ind w:left="105"/>
              <w:rPr>
                <w:sz w:val="21"/>
              </w:rPr>
            </w:pPr>
            <w:r>
              <w:rPr>
                <w:sz w:val="21"/>
              </w:rPr>
              <w:t>GA 62</w:t>
            </w:r>
          </w:p>
        </w:tc>
        <w:tc>
          <w:tcPr>
            <w:tcW w:w="1619" w:type="dxa"/>
          </w:tcPr>
          <w:p w:rsidR="008215AB" w:rsidRDefault="008215AB">
            <w:pPr>
              <w:pStyle w:val="TableParagraph"/>
              <w:spacing w:before="4"/>
              <w:ind w:left="0"/>
              <w:rPr>
                <w:sz w:val="20"/>
              </w:rPr>
            </w:pPr>
          </w:p>
          <w:p w:rsidR="008215AB" w:rsidRDefault="006513FA">
            <w:pPr>
              <w:pStyle w:val="TableParagraph"/>
              <w:tabs>
                <w:tab w:val="left" w:pos="1370"/>
              </w:tabs>
              <w:spacing w:before="1"/>
              <w:ind w:left="106"/>
              <w:rPr>
                <w:sz w:val="21"/>
              </w:rPr>
            </w:pPr>
            <w:r>
              <w:rPr>
                <w:sz w:val="21"/>
              </w:rPr>
              <w:t>Chennai</w:t>
            </w:r>
            <w:r>
              <w:rPr>
                <w:sz w:val="21"/>
              </w:rPr>
              <w:tab/>
              <w:t>&amp;</w:t>
            </w:r>
          </w:p>
          <w:p w:rsidR="008215AB" w:rsidRDefault="006513FA">
            <w:pPr>
              <w:pStyle w:val="TableParagraph"/>
              <w:spacing w:before="5" w:line="240" w:lineRule="exact"/>
              <w:ind w:left="106" w:right="619"/>
              <w:rPr>
                <w:sz w:val="21"/>
              </w:rPr>
            </w:pPr>
            <w:r>
              <w:rPr>
                <w:sz w:val="21"/>
              </w:rPr>
              <w:t>Tiruvallur Districts</w:t>
            </w:r>
          </w:p>
        </w:tc>
        <w:tc>
          <w:tcPr>
            <w:tcW w:w="1619" w:type="dxa"/>
          </w:tcPr>
          <w:p w:rsidR="008215AB" w:rsidRDefault="008215AB">
            <w:pPr>
              <w:pStyle w:val="TableParagraph"/>
              <w:spacing w:before="4"/>
              <w:ind w:left="0"/>
              <w:rPr>
                <w:sz w:val="20"/>
              </w:rPr>
            </w:pPr>
          </w:p>
          <w:p w:rsidR="008215AB" w:rsidRDefault="006513FA">
            <w:pPr>
              <w:pStyle w:val="TableParagraph"/>
              <w:tabs>
                <w:tab w:val="left" w:pos="1129"/>
              </w:tabs>
              <w:spacing w:before="1"/>
              <w:ind w:right="94"/>
              <w:rPr>
                <w:sz w:val="21"/>
              </w:rPr>
            </w:pPr>
            <w:r>
              <w:rPr>
                <w:sz w:val="21"/>
              </w:rPr>
              <w:t>Torrent</w:t>
            </w:r>
            <w:r>
              <w:rPr>
                <w:sz w:val="21"/>
              </w:rPr>
              <w:tab/>
            </w:r>
            <w:r>
              <w:rPr>
                <w:spacing w:val="-8"/>
                <w:sz w:val="21"/>
              </w:rPr>
              <w:t xml:space="preserve">Gas </w:t>
            </w:r>
            <w:r>
              <w:rPr>
                <w:sz w:val="21"/>
              </w:rPr>
              <w:t>Private</w:t>
            </w:r>
            <w:r>
              <w:rPr>
                <w:spacing w:val="-3"/>
                <w:sz w:val="21"/>
              </w:rPr>
              <w:t xml:space="preserve"> </w:t>
            </w:r>
            <w:r>
              <w:rPr>
                <w:sz w:val="21"/>
              </w:rPr>
              <w:t>Limited</w:t>
            </w:r>
          </w:p>
        </w:tc>
        <w:tc>
          <w:tcPr>
            <w:tcW w:w="1347" w:type="dxa"/>
          </w:tcPr>
          <w:p w:rsidR="008215AB" w:rsidRDefault="008215AB">
            <w:pPr>
              <w:pStyle w:val="TableParagraph"/>
              <w:spacing w:before="4"/>
              <w:ind w:left="0"/>
              <w:rPr>
                <w:sz w:val="20"/>
              </w:rPr>
            </w:pPr>
          </w:p>
          <w:p w:rsidR="008215AB" w:rsidRDefault="006513FA">
            <w:pPr>
              <w:pStyle w:val="TableParagraph"/>
              <w:spacing w:before="1"/>
              <w:ind w:left="108"/>
              <w:rPr>
                <w:b/>
                <w:sz w:val="21"/>
              </w:rPr>
            </w:pPr>
            <w:r>
              <w:rPr>
                <w:b/>
                <w:sz w:val="21"/>
              </w:rPr>
              <w:t>157.00% of</w:t>
            </w:r>
          </w:p>
          <w:p w:rsidR="008215AB" w:rsidRDefault="006513FA">
            <w:pPr>
              <w:pStyle w:val="TableParagraph"/>
              <w:ind w:left="108"/>
              <w:rPr>
                <w:b/>
                <w:sz w:val="21"/>
              </w:rPr>
            </w:pPr>
            <w:r>
              <w:rPr>
                <w:b/>
                <w:sz w:val="21"/>
              </w:rPr>
              <w:t>total HH</w:t>
            </w:r>
          </w:p>
        </w:tc>
        <w:tc>
          <w:tcPr>
            <w:tcW w:w="1170" w:type="dxa"/>
          </w:tcPr>
          <w:p w:rsidR="008215AB" w:rsidRDefault="008215AB">
            <w:pPr>
              <w:pStyle w:val="TableParagraph"/>
              <w:spacing w:before="4"/>
              <w:ind w:left="0"/>
              <w:rPr>
                <w:sz w:val="20"/>
              </w:rPr>
            </w:pPr>
          </w:p>
          <w:p w:rsidR="008215AB" w:rsidRDefault="006513FA">
            <w:pPr>
              <w:pStyle w:val="TableParagraph"/>
              <w:tabs>
                <w:tab w:val="left" w:pos="587"/>
              </w:tabs>
              <w:spacing w:before="1"/>
              <w:ind w:left="112"/>
              <w:rPr>
                <w:sz w:val="21"/>
              </w:rPr>
            </w:pPr>
            <w:r>
              <w:rPr>
                <w:sz w:val="21"/>
              </w:rPr>
              <w:t>9</w:t>
            </w:r>
            <w:r>
              <w:rPr>
                <w:sz w:val="21"/>
              </w:rPr>
              <w:tab/>
              <w:t>other</w:t>
            </w:r>
          </w:p>
          <w:p w:rsidR="008215AB" w:rsidRDefault="006513FA">
            <w:pPr>
              <w:pStyle w:val="TableParagraph"/>
              <w:spacing w:before="5" w:line="240" w:lineRule="exact"/>
              <w:ind w:left="112"/>
              <w:rPr>
                <w:sz w:val="21"/>
              </w:rPr>
            </w:pPr>
            <w:r>
              <w:rPr>
                <w:sz w:val="21"/>
              </w:rPr>
              <w:t>valid bids remains</w:t>
            </w:r>
          </w:p>
        </w:tc>
      </w:tr>
      <w:tr w:rsidR="008215AB">
        <w:trPr>
          <w:trHeight w:val="964"/>
        </w:trPr>
        <w:tc>
          <w:tcPr>
            <w:tcW w:w="835"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13.</w:t>
            </w:r>
          </w:p>
        </w:tc>
        <w:tc>
          <w:tcPr>
            <w:tcW w:w="900" w:type="dxa"/>
          </w:tcPr>
          <w:p w:rsidR="008215AB" w:rsidRDefault="008215AB">
            <w:pPr>
              <w:pStyle w:val="TableParagraph"/>
              <w:spacing w:before="4"/>
              <w:ind w:left="0"/>
              <w:rPr>
                <w:sz w:val="20"/>
              </w:rPr>
            </w:pPr>
          </w:p>
          <w:p w:rsidR="008215AB" w:rsidRDefault="006513FA">
            <w:pPr>
              <w:pStyle w:val="TableParagraph"/>
              <w:spacing w:before="1"/>
              <w:ind w:left="105"/>
              <w:rPr>
                <w:sz w:val="21"/>
              </w:rPr>
            </w:pPr>
            <w:r>
              <w:rPr>
                <w:sz w:val="21"/>
              </w:rPr>
              <w:t>GA 63</w:t>
            </w:r>
          </w:p>
        </w:tc>
        <w:tc>
          <w:tcPr>
            <w:tcW w:w="1619" w:type="dxa"/>
          </w:tcPr>
          <w:p w:rsidR="008215AB" w:rsidRDefault="008215AB">
            <w:pPr>
              <w:pStyle w:val="TableParagraph"/>
              <w:spacing w:before="4"/>
              <w:ind w:left="0"/>
              <w:rPr>
                <w:sz w:val="20"/>
              </w:rPr>
            </w:pPr>
          </w:p>
          <w:p w:rsidR="008215AB" w:rsidRDefault="006513FA">
            <w:pPr>
              <w:pStyle w:val="TableParagraph"/>
              <w:spacing w:before="1"/>
              <w:ind w:left="106" w:right="397"/>
              <w:rPr>
                <w:sz w:val="21"/>
              </w:rPr>
            </w:pPr>
            <w:r>
              <w:rPr>
                <w:sz w:val="21"/>
              </w:rPr>
              <w:t>Coimbatore District</w:t>
            </w:r>
          </w:p>
        </w:tc>
        <w:tc>
          <w:tcPr>
            <w:tcW w:w="1619" w:type="dxa"/>
          </w:tcPr>
          <w:p w:rsidR="008215AB" w:rsidRDefault="008215AB">
            <w:pPr>
              <w:pStyle w:val="TableParagraph"/>
              <w:spacing w:before="4"/>
              <w:ind w:left="0"/>
              <w:rPr>
                <w:sz w:val="20"/>
              </w:rPr>
            </w:pPr>
          </w:p>
          <w:p w:rsidR="008215AB" w:rsidRDefault="006513FA">
            <w:pPr>
              <w:pStyle w:val="TableParagraph"/>
              <w:spacing w:before="1"/>
              <w:rPr>
                <w:sz w:val="21"/>
              </w:rPr>
            </w:pPr>
            <w:r>
              <w:rPr>
                <w:sz w:val="21"/>
              </w:rPr>
              <w:t>IMC Limited</w:t>
            </w:r>
          </w:p>
        </w:tc>
        <w:tc>
          <w:tcPr>
            <w:tcW w:w="1347" w:type="dxa"/>
          </w:tcPr>
          <w:p w:rsidR="008215AB" w:rsidRDefault="008215AB">
            <w:pPr>
              <w:pStyle w:val="TableParagraph"/>
              <w:spacing w:before="4"/>
              <w:ind w:left="0"/>
              <w:rPr>
                <w:sz w:val="20"/>
              </w:rPr>
            </w:pPr>
          </w:p>
          <w:p w:rsidR="008215AB" w:rsidRDefault="006513FA">
            <w:pPr>
              <w:pStyle w:val="TableParagraph"/>
              <w:spacing w:before="1"/>
              <w:ind w:left="108"/>
              <w:rPr>
                <w:b/>
                <w:sz w:val="21"/>
              </w:rPr>
            </w:pPr>
            <w:r>
              <w:rPr>
                <w:b/>
                <w:sz w:val="21"/>
              </w:rPr>
              <w:t>107.06% of</w:t>
            </w:r>
          </w:p>
          <w:p w:rsidR="008215AB" w:rsidRDefault="006513FA">
            <w:pPr>
              <w:pStyle w:val="TableParagraph"/>
              <w:ind w:left="108"/>
              <w:rPr>
                <w:b/>
                <w:sz w:val="21"/>
              </w:rPr>
            </w:pPr>
            <w:r>
              <w:rPr>
                <w:b/>
                <w:sz w:val="21"/>
              </w:rPr>
              <w:t>total HH</w:t>
            </w:r>
          </w:p>
        </w:tc>
        <w:tc>
          <w:tcPr>
            <w:tcW w:w="1170" w:type="dxa"/>
          </w:tcPr>
          <w:p w:rsidR="008215AB" w:rsidRDefault="008215AB">
            <w:pPr>
              <w:pStyle w:val="TableParagraph"/>
              <w:spacing w:before="4"/>
              <w:ind w:left="0"/>
              <w:rPr>
                <w:sz w:val="20"/>
              </w:rPr>
            </w:pPr>
          </w:p>
          <w:p w:rsidR="008215AB" w:rsidRDefault="006513FA">
            <w:pPr>
              <w:pStyle w:val="TableParagraph"/>
              <w:tabs>
                <w:tab w:val="left" w:pos="590"/>
              </w:tabs>
              <w:spacing w:before="1"/>
              <w:ind w:left="112"/>
              <w:rPr>
                <w:sz w:val="21"/>
              </w:rPr>
            </w:pPr>
            <w:r>
              <w:rPr>
                <w:sz w:val="21"/>
              </w:rPr>
              <w:t>12</w:t>
            </w:r>
            <w:r>
              <w:rPr>
                <w:sz w:val="21"/>
              </w:rPr>
              <w:tab/>
              <w:t>other</w:t>
            </w:r>
          </w:p>
          <w:p w:rsidR="008215AB" w:rsidRDefault="006513FA">
            <w:pPr>
              <w:pStyle w:val="TableParagraph"/>
              <w:spacing w:before="5" w:line="240" w:lineRule="exact"/>
              <w:ind w:left="112"/>
              <w:rPr>
                <w:sz w:val="21"/>
              </w:rPr>
            </w:pPr>
            <w:r>
              <w:rPr>
                <w:sz w:val="21"/>
              </w:rPr>
              <w:t>valid bids remains</w:t>
            </w:r>
          </w:p>
        </w:tc>
      </w:tr>
    </w:tbl>
    <w:p w:rsidR="008215AB" w:rsidRDefault="008215AB">
      <w:pPr>
        <w:pStyle w:val="BodyText"/>
        <w:spacing w:before="5"/>
        <w:rPr>
          <w:sz w:val="20"/>
        </w:rPr>
      </w:pPr>
    </w:p>
    <w:p w:rsidR="008215AB" w:rsidRDefault="006513FA">
      <w:pPr>
        <w:ind w:left="1491"/>
        <w:rPr>
          <w:sz w:val="21"/>
        </w:rPr>
      </w:pPr>
      <w:r>
        <w:rPr>
          <w:sz w:val="21"/>
        </w:rPr>
        <w:t>…</w:t>
      </w:r>
    </w:p>
    <w:p w:rsidR="008215AB" w:rsidRDefault="008215AB">
      <w:pPr>
        <w:rPr>
          <w:sz w:val="21"/>
        </w:rPr>
        <w:sectPr w:rsidR="008215AB">
          <w:pgSz w:w="11910" w:h="16840"/>
          <w:pgMar w:top="1340" w:right="1320" w:bottom="1220" w:left="940" w:header="0" w:footer="1034" w:gutter="0"/>
          <w:cols w:space="720"/>
        </w:sectPr>
      </w:pPr>
    </w:p>
    <w:p w:rsidR="008215AB" w:rsidRDefault="006513FA">
      <w:pPr>
        <w:spacing w:before="76" w:line="276" w:lineRule="auto"/>
        <w:ind w:left="1491" w:right="1015"/>
        <w:jc w:val="both"/>
        <w:rPr>
          <w:sz w:val="21"/>
        </w:rPr>
      </w:pPr>
      <w:r>
        <w:rPr>
          <w:sz w:val="21"/>
        </w:rPr>
        <w:t xml:space="preserve">From the above </w:t>
      </w:r>
      <w:r>
        <w:rPr>
          <w:b/>
          <w:sz w:val="21"/>
        </w:rPr>
        <w:t xml:space="preserve">Table-5, </w:t>
      </w:r>
      <w:r>
        <w:rPr>
          <w:sz w:val="21"/>
        </w:rPr>
        <w:t>it can be seen that in 3 GAs have unreasonably High PNG Connections quoted have been received &amp; also happens to be H1 bidder and are liable for rejection.‖</w:t>
      </w:r>
    </w:p>
    <w:p w:rsidR="008215AB" w:rsidRDefault="008215AB">
      <w:pPr>
        <w:pStyle w:val="BodyText"/>
        <w:rPr>
          <w:sz w:val="24"/>
        </w:rPr>
      </w:pPr>
    </w:p>
    <w:p w:rsidR="008215AB" w:rsidRDefault="008215AB">
      <w:pPr>
        <w:pStyle w:val="BodyText"/>
        <w:spacing w:before="2"/>
        <w:rPr>
          <w:sz w:val="21"/>
        </w:rPr>
      </w:pPr>
    </w:p>
    <w:p w:rsidR="008215AB" w:rsidRDefault="006513FA">
      <w:pPr>
        <w:pStyle w:val="ListParagraph"/>
        <w:numPr>
          <w:ilvl w:val="0"/>
          <w:numId w:val="8"/>
        </w:numPr>
        <w:tabs>
          <w:tab w:val="left" w:pos="1221"/>
        </w:tabs>
        <w:spacing w:line="480" w:lineRule="auto"/>
        <w:ind w:right="117" w:firstLine="0"/>
        <w:jc w:val="both"/>
        <w:rPr>
          <w:sz w:val="25"/>
        </w:rPr>
      </w:pPr>
      <w:r>
        <w:rPr>
          <w:sz w:val="25"/>
        </w:rPr>
        <w:t>At this stage it may also be necessary to note that table 4 contained a tabulation</w:t>
      </w:r>
      <w:r>
        <w:rPr>
          <w:spacing w:val="29"/>
          <w:sz w:val="25"/>
        </w:rPr>
        <w:t xml:space="preserve"> </w:t>
      </w:r>
      <w:r>
        <w:rPr>
          <w:sz w:val="25"/>
        </w:rPr>
        <w:t>of</w:t>
      </w:r>
      <w:r>
        <w:rPr>
          <w:spacing w:val="30"/>
          <w:sz w:val="25"/>
        </w:rPr>
        <w:t xml:space="preserve"> </w:t>
      </w:r>
      <w:r>
        <w:rPr>
          <w:sz w:val="25"/>
        </w:rPr>
        <w:t>bids</w:t>
      </w:r>
      <w:r>
        <w:rPr>
          <w:spacing w:val="30"/>
          <w:sz w:val="25"/>
        </w:rPr>
        <w:t xml:space="preserve"> </w:t>
      </w:r>
      <w:r>
        <w:rPr>
          <w:sz w:val="25"/>
        </w:rPr>
        <w:t>among</w:t>
      </w:r>
      <w:r>
        <w:rPr>
          <w:spacing w:val="30"/>
          <w:sz w:val="25"/>
        </w:rPr>
        <w:t xml:space="preserve"> </w:t>
      </w:r>
      <w:r>
        <w:rPr>
          <w:sz w:val="25"/>
        </w:rPr>
        <w:t>t</w:t>
      </w:r>
      <w:r>
        <w:rPr>
          <w:sz w:val="25"/>
        </w:rPr>
        <w:t>hem</w:t>
      </w:r>
      <w:r>
        <w:rPr>
          <w:spacing w:val="30"/>
          <w:sz w:val="25"/>
        </w:rPr>
        <w:t xml:space="preserve"> </w:t>
      </w:r>
      <w:r>
        <w:rPr>
          <w:sz w:val="25"/>
        </w:rPr>
        <w:t>being</w:t>
      </w:r>
      <w:r>
        <w:rPr>
          <w:spacing w:val="30"/>
          <w:sz w:val="25"/>
        </w:rPr>
        <w:t xml:space="preserve"> </w:t>
      </w:r>
      <w:r>
        <w:rPr>
          <w:sz w:val="25"/>
        </w:rPr>
        <w:t>those</w:t>
      </w:r>
      <w:r>
        <w:rPr>
          <w:spacing w:val="30"/>
          <w:sz w:val="25"/>
        </w:rPr>
        <w:t xml:space="preserve"> </w:t>
      </w:r>
      <w:r>
        <w:rPr>
          <w:sz w:val="25"/>
        </w:rPr>
        <w:t>of</w:t>
      </w:r>
      <w:r>
        <w:rPr>
          <w:spacing w:val="30"/>
          <w:sz w:val="25"/>
        </w:rPr>
        <w:t xml:space="preserve"> </w:t>
      </w:r>
      <w:r>
        <w:rPr>
          <w:sz w:val="25"/>
        </w:rPr>
        <w:t>bidders</w:t>
      </w:r>
      <w:r>
        <w:rPr>
          <w:spacing w:val="30"/>
          <w:sz w:val="25"/>
        </w:rPr>
        <w:t xml:space="preserve"> </w:t>
      </w:r>
      <w:r>
        <w:rPr>
          <w:sz w:val="25"/>
        </w:rPr>
        <w:t>who</w:t>
      </w:r>
      <w:r>
        <w:rPr>
          <w:spacing w:val="29"/>
          <w:sz w:val="25"/>
        </w:rPr>
        <w:t xml:space="preserve"> </w:t>
      </w:r>
      <w:r>
        <w:rPr>
          <w:sz w:val="25"/>
        </w:rPr>
        <w:t>were</w:t>
      </w:r>
      <w:r>
        <w:rPr>
          <w:spacing w:val="30"/>
          <w:sz w:val="25"/>
        </w:rPr>
        <w:t xml:space="preserve"> </w:t>
      </w:r>
      <w:r>
        <w:rPr>
          <w:sz w:val="25"/>
        </w:rPr>
        <w:t>treated</w:t>
      </w:r>
      <w:r>
        <w:rPr>
          <w:spacing w:val="30"/>
          <w:sz w:val="25"/>
        </w:rPr>
        <w:t xml:space="preserve"> </w:t>
      </w:r>
      <w:r>
        <w:rPr>
          <w:sz w:val="25"/>
        </w:rPr>
        <w:t>as</w:t>
      </w:r>
      <w:r>
        <w:rPr>
          <w:spacing w:val="30"/>
          <w:sz w:val="25"/>
        </w:rPr>
        <w:t xml:space="preserve"> </w:t>
      </w:r>
      <w:r>
        <w:rPr>
          <w:sz w:val="25"/>
        </w:rPr>
        <w:t>not</w:t>
      </w:r>
    </w:p>
    <w:p w:rsidR="008215AB" w:rsidRDefault="006513FA">
      <w:pPr>
        <w:pStyle w:val="BodyText"/>
        <w:spacing w:line="480" w:lineRule="auto"/>
        <w:ind w:left="500" w:right="114"/>
        <w:jc w:val="both"/>
      </w:pPr>
      <w:r>
        <w:rPr>
          <w:w w:val="33"/>
        </w:rPr>
        <w:t>―</w:t>
      </w:r>
      <w:r>
        <w:rPr>
          <w:w w:val="99"/>
        </w:rPr>
        <w:t>Not-Qualified</w:t>
      </w:r>
      <w:r>
        <w:rPr>
          <w:w w:val="80"/>
        </w:rPr>
        <w:t>‖</w:t>
      </w:r>
      <w:r>
        <w:rPr>
          <w:w w:val="99"/>
        </w:rPr>
        <w:t>.</w:t>
      </w:r>
      <w:r>
        <w:rPr>
          <w:spacing w:val="5"/>
        </w:rPr>
        <w:t xml:space="preserve"> </w:t>
      </w:r>
      <w:r>
        <w:rPr>
          <w:spacing w:val="-2"/>
          <w:w w:val="99"/>
        </w:rPr>
        <w:t>T</w:t>
      </w:r>
      <w:r>
        <w:rPr>
          <w:w w:val="99"/>
        </w:rPr>
        <w:t>he</w:t>
      </w:r>
      <w:r>
        <w:rPr>
          <w:spacing w:val="5"/>
        </w:rPr>
        <w:t xml:space="preserve"> </w:t>
      </w:r>
      <w:r>
        <w:rPr>
          <w:spacing w:val="-2"/>
          <w:w w:val="99"/>
        </w:rPr>
        <w:t>a</w:t>
      </w:r>
      <w:r>
        <w:rPr>
          <w:w w:val="99"/>
        </w:rPr>
        <w:t>genda</w:t>
      </w:r>
      <w:r>
        <w:rPr>
          <w:spacing w:val="6"/>
        </w:rPr>
        <w:t xml:space="preserve"> </w:t>
      </w:r>
      <w:r>
        <w:rPr>
          <w:w w:val="99"/>
        </w:rPr>
        <w:t>note</w:t>
      </w:r>
      <w:r>
        <w:rPr>
          <w:spacing w:val="2"/>
        </w:rPr>
        <w:t xml:space="preserve"> </w:t>
      </w:r>
      <w:r>
        <w:rPr>
          <w:w w:val="99"/>
        </w:rPr>
        <w:t>recomm</w:t>
      </w:r>
      <w:r>
        <w:rPr>
          <w:spacing w:val="-2"/>
          <w:w w:val="99"/>
        </w:rPr>
        <w:t>e</w:t>
      </w:r>
      <w:r>
        <w:rPr>
          <w:w w:val="99"/>
        </w:rPr>
        <w:t>nded</w:t>
      </w:r>
      <w:r>
        <w:rPr>
          <w:spacing w:val="5"/>
        </w:rPr>
        <w:t xml:space="preserve"> </w:t>
      </w:r>
      <w:r>
        <w:rPr>
          <w:w w:val="99"/>
        </w:rPr>
        <w:t>that</w:t>
      </w:r>
      <w:r>
        <w:rPr>
          <w:spacing w:val="4"/>
        </w:rPr>
        <w:t xml:space="preserve"> </w:t>
      </w:r>
      <w:r>
        <w:rPr>
          <w:w w:val="99"/>
        </w:rPr>
        <w:t>in</w:t>
      </w:r>
      <w:r>
        <w:rPr>
          <w:spacing w:val="6"/>
        </w:rPr>
        <w:t xml:space="preserve"> </w:t>
      </w:r>
      <w:r>
        <w:rPr>
          <w:w w:val="99"/>
        </w:rPr>
        <w:t>th</w:t>
      </w:r>
      <w:r>
        <w:rPr>
          <w:spacing w:val="1"/>
          <w:w w:val="99"/>
        </w:rPr>
        <w:t>r</w:t>
      </w:r>
      <w:r>
        <w:rPr>
          <w:w w:val="99"/>
        </w:rPr>
        <w:t>ee</w:t>
      </w:r>
      <w:r>
        <w:rPr>
          <w:spacing w:val="6"/>
        </w:rPr>
        <w:t xml:space="preserve"> </w:t>
      </w:r>
      <w:r>
        <w:rPr>
          <w:w w:val="99"/>
        </w:rPr>
        <w:t>G</w:t>
      </w:r>
      <w:r>
        <w:rPr>
          <w:spacing w:val="-3"/>
          <w:w w:val="99"/>
        </w:rPr>
        <w:t>A</w:t>
      </w:r>
      <w:r>
        <w:rPr>
          <w:w w:val="99"/>
        </w:rPr>
        <w:t>s,</w:t>
      </w:r>
      <w:r>
        <w:rPr>
          <w:spacing w:val="4"/>
        </w:rPr>
        <w:t xml:space="preserve"> </w:t>
      </w:r>
      <w:r>
        <w:rPr>
          <w:w w:val="99"/>
        </w:rPr>
        <w:t>the</w:t>
      </w:r>
      <w:r>
        <w:rPr>
          <w:spacing w:val="5"/>
        </w:rPr>
        <w:t xml:space="preserve"> </w:t>
      </w:r>
      <w:r>
        <w:rPr>
          <w:w w:val="99"/>
        </w:rPr>
        <w:t>bids</w:t>
      </w:r>
      <w:r>
        <w:rPr>
          <w:spacing w:val="5"/>
        </w:rPr>
        <w:t xml:space="preserve"> </w:t>
      </w:r>
      <w:r>
        <w:rPr>
          <w:w w:val="99"/>
        </w:rPr>
        <w:t>of</w:t>
      </w:r>
      <w:r>
        <w:rPr>
          <w:spacing w:val="2"/>
        </w:rPr>
        <w:t xml:space="preserve"> </w:t>
      </w:r>
      <w:r>
        <w:rPr>
          <w:w w:val="99"/>
        </w:rPr>
        <w:t xml:space="preserve">the </w:t>
      </w:r>
      <w:r>
        <w:t xml:space="preserve">highest bidders were liable to be rejected since they had quoted an unreasonably high number of PNG connections to be achieved at the end of eight contract years. Consequently, the names of the entities which were to be declared as successful bidders were </w:t>
      </w:r>
      <w:r>
        <w:t xml:space="preserve">tabulated in table 6 of the agenda note. According to the agenda note, after the names of the entities with the highest bids were removed, IMC Limited was recommended for being declared as the successful bidder for GA 61 (Kanchipuram District). Similarly, </w:t>
      </w:r>
      <w:r>
        <w:t xml:space="preserve">for GA 62 (Chennai &amp; Tiruvallur Districts), Adani Gas Limited was recommended to be the successful bidder after </w:t>
      </w:r>
      <w:r>
        <w:rPr>
          <w:w w:val="99"/>
        </w:rPr>
        <w:t>the</w:t>
      </w:r>
      <w:r>
        <w:rPr>
          <w:spacing w:val="19"/>
        </w:rPr>
        <w:t xml:space="preserve"> </w:t>
      </w:r>
      <w:r>
        <w:rPr>
          <w:spacing w:val="-1"/>
          <w:w w:val="99"/>
        </w:rPr>
        <w:t>hig</w:t>
      </w:r>
      <w:r>
        <w:rPr>
          <w:w w:val="99"/>
        </w:rPr>
        <w:t>h</w:t>
      </w:r>
      <w:r>
        <w:rPr>
          <w:spacing w:val="-1"/>
          <w:w w:val="99"/>
        </w:rPr>
        <w:t>es</w:t>
      </w:r>
      <w:r>
        <w:rPr>
          <w:w w:val="99"/>
        </w:rPr>
        <w:t>t</w:t>
      </w:r>
      <w:r>
        <w:rPr>
          <w:spacing w:val="19"/>
        </w:rPr>
        <w:t xml:space="preserve"> </w:t>
      </w:r>
      <w:r>
        <w:rPr>
          <w:spacing w:val="-1"/>
          <w:w w:val="99"/>
        </w:rPr>
        <w:t>bi</w:t>
      </w:r>
      <w:r>
        <w:rPr>
          <w:w w:val="99"/>
        </w:rPr>
        <w:t>d</w:t>
      </w:r>
      <w:r>
        <w:rPr>
          <w:spacing w:val="19"/>
        </w:rPr>
        <w:t xml:space="preserve"> </w:t>
      </w:r>
      <w:r>
        <w:rPr>
          <w:spacing w:val="-1"/>
          <w:w w:val="99"/>
        </w:rPr>
        <w:t>wa</w:t>
      </w:r>
      <w:r>
        <w:rPr>
          <w:w w:val="99"/>
        </w:rPr>
        <w:t>s</w:t>
      </w:r>
      <w:r>
        <w:rPr>
          <w:spacing w:val="19"/>
        </w:rPr>
        <w:t xml:space="preserve"> </w:t>
      </w:r>
      <w:r>
        <w:rPr>
          <w:spacing w:val="-1"/>
          <w:w w:val="99"/>
        </w:rPr>
        <w:t>d</w:t>
      </w:r>
      <w:r>
        <w:rPr>
          <w:w w:val="99"/>
        </w:rPr>
        <w:t>eclar</w:t>
      </w:r>
      <w:r>
        <w:rPr>
          <w:spacing w:val="-1"/>
          <w:w w:val="99"/>
        </w:rPr>
        <w:t>e</w:t>
      </w:r>
      <w:r>
        <w:rPr>
          <w:w w:val="99"/>
        </w:rPr>
        <w:t>d</w:t>
      </w:r>
      <w:r>
        <w:rPr>
          <w:spacing w:val="19"/>
        </w:rPr>
        <w:t xml:space="preserve"> </w:t>
      </w:r>
      <w:r>
        <w:rPr>
          <w:spacing w:val="-1"/>
          <w:w w:val="99"/>
        </w:rPr>
        <w:t>a</w:t>
      </w:r>
      <w:r>
        <w:rPr>
          <w:w w:val="99"/>
        </w:rPr>
        <w:t>s</w:t>
      </w:r>
      <w:r>
        <w:rPr>
          <w:spacing w:val="19"/>
        </w:rPr>
        <w:t xml:space="preserve"> </w:t>
      </w:r>
      <w:r>
        <w:rPr>
          <w:w w:val="33"/>
        </w:rPr>
        <w:t>―</w:t>
      </w:r>
      <w:r>
        <w:rPr>
          <w:spacing w:val="-1"/>
          <w:w w:val="99"/>
        </w:rPr>
        <w:t>No</w:t>
      </w:r>
      <w:r>
        <w:rPr>
          <w:w w:val="99"/>
        </w:rPr>
        <w:t>t</w:t>
      </w:r>
      <w:r>
        <w:rPr>
          <w:spacing w:val="19"/>
        </w:rPr>
        <w:t xml:space="preserve"> </w:t>
      </w:r>
      <w:r>
        <w:rPr>
          <w:w w:val="99"/>
        </w:rPr>
        <w:t>Qua</w:t>
      </w:r>
      <w:r>
        <w:rPr>
          <w:spacing w:val="-1"/>
          <w:w w:val="99"/>
        </w:rPr>
        <w:t>l</w:t>
      </w:r>
      <w:r>
        <w:rPr>
          <w:spacing w:val="-3"/>
          <w:w w:val="99"/>
        </w:rPr>
        <w:t>i</w:t>
      </w:r>
      <w:r>
        <w:rPr>
          <w:w w:val="99"/>
        </w:rPr>
        <w:t>fied</w:t>
      </w:r>
      <w:r>
        <w:rPr>
          <w:spacing w:val="6"/>
          <w:w w:val="80"/>
        </w:rPr>
        <w:t>‖</w:t>
      </w:r>
      <w:r>
        <w:rPr>
          <w:w w:val="99"/>
        </w:rPr>
        <w:t>.</w:t>
      </w:r>
      <w:r>
        <w:rPr>
          <w:spacing w:val="19"/>
        </w:rPr>
        <w:t xml:space="preserve"> </w:t>
      </w:r>
      <w:r>
        <w:rPr>
          <w:w w:val="99"/>
        </w:rPr>
        <w:t>The</w:t>
      </w:r>
      <w:r>
        <w:rPr>
          <w:spacing w:val="19"/>
        </w:rPr>
        <w:t xml:space="preserve"> </w:t>
      </w:r>
      <w:r>
        <w:rPr>
          <w:w w:val="99"/>
        </w:rPr>
        <w:t>agenda</w:t>
      </w:r>
      <w:r>
        <w:rPr>
          <w:spacing w:val="17"/>
        </w:rPr>
        <w:t xml:space="preserve"> </w:t>
      </w:r>
      <w:r>
        <w:rPr>
          <w:w w:val="99"/>
        </w:rPr>
        <w:t>no</w:t>
      </w:r>
      <w:r>
        <w:rPr>
          <w:spacing w:val="-3"/>
          <w:w w:val="99"/>
        </w:rPr>
        <w:t>t</w:t>
      </w:r>
      <w:r>
        <w:rPr>
          <w:w w:val="99"/>
        </w:rPr>
        <w:t>e</w:t>
      </w:r>
      <w:r>
        <w:rPr>
          <w:spacing w:val="19"/>
        </w:rPr>
        <w:t xml:space="preserve"> </w:t>
      </w:r>
      <w:r>
        <w:rPr>
          <w:w w:val="99"/>
        </w:rPr>
        <w:t>was</w:t>
      </w:r>
      <w:r>
        <w:rPr>
          <w:spacing w:val="19"/>
        </w:rPr>
        <w:t xml:space="preserve"> </w:t>
      </w:r>
      <w:r>
        <w:rPr>
          <w:w w:val="99"/>
        </w:rPr>
        <w:t>p</w:t>
      </w:r>
      <w:r>
        <w:rPr>
          <w:spacing w:val="1"/>
          <w:w w:val="99"/>
        </w:rPr>
        <w:t>r</w:t>
      </w:r>
      <w:r>
        <w:rPr>
          <w:w w:val="99"/>
        </w:rPr>
        <w:t>epa</w:t>
      </w:r>
      <w:r>
        <w:rPr>
          <w:spacing w:val="1"/>
          <w:w w:val="99"/>
        </w:rPr>
        <w:t>r</w:t>
      </w:r>
      <w:r>
        <w:rPr>
          <w:w w:val="99"/>
        </w:rPr>
        <w:t xml:space="preserve">ed </w:t>
      </w:r>
      <w:r>
        <w:t xml:space="preserve">by the Authorisation Division and records that it was concurred with by the </w:t>
      </w:r>
      <w:r>
        <w:rPr>
          <w:spacing w:val="-2"/>
          <w:w w:val="99"/>
        </w:rPr>
        <w:t>M</w:t>
      </w:r>
      <w:r>
        <w:rPr>
          <w:spacing w:val="-1"/>
          <w:w w:val="99"/>
        </w:rPr>
        <w:t>e</w:t>
      </w:r>
      <w:r>
        <w:rPr>
          <w:w w:val="99"/>
        </w:rPr>
        <w:t>m</w:t>
      </w:r>
      <w:r>
        <w:rPr>
          <w:spacing w:val="-1"/>
          <w:w w:val="99"/>
        </w:rPr>
        <w:t>b</w:t>
      </w:r>
      <w:r>
        <w:rPr>
          <w:w w:val="99"/>
        </w:rPr>
        <w:t>er</w:t>
      </w:r>
      <w:r>
        <w:t xml:space="preserve"> </w:t>
      </w:r>
      <w:r>
        <w:rPr>
          <w:spacing w:val="-26"/>
        </w:rPr>
        <w:t xml:space="preserve"> </w:t>
      </w:r>
      <w:r>
        <w:rPr>
          <w:w w:val="99"/>
        </w:rPr>
        <w:t>(I&amp;T)</w:t>
      </w:r>
      <w:r>
        <w:t xml:space="preserve"> </w:t>
      </w:r>
      <w:r>
        <w:rPr>
          <w:spacing w:val="-26"/>
        </w:rPr>
        <w:t xml:space="preserve"> </w:t>
      </w:r>
      <w:r>
        <w:rPr>
          <w:spacing w:val="-1"/>
          <w:w w:val="99"/>
        </w:rPr>
        <w:t>a</w:t>
      </w:r>
      <w:r>
        <w:rPr>
          <w:w w:val="99"/>
        </w:rPr>
        <w:t>nd</w:t>
      </w:r>
      <w:r>
        <w:t xml:space="preserve"> </w:t>
      </w:r>
      <w:r>
        <w:rPr>
          <w:spacing w:val="-24"/>
        </w:rPr>
        <w:t xml:space="preserve"> </w:t>
      </w:r>
      <w:r>
        <w:rPr>
          <w:spacing w:val="-2"/>
          <w:w w:val="99"/>
        </w:rPr>
        <w:t>M</w:t>
      </w:r>
      <w:r>
        <w:rPr>
          <w:spacing w:val="-1"/>
          <w:w w:val="99"/>
        </w:rPr>
        <w:t>e</w:t>
      </w:r>
      <w:r>
        <w:rPr>
          <w:w w:val="99"/>
        </w:rPr>
        <w:t>m</w:t>
      </w:r>
      <w:r>
        <w:rPr>
          <w:spacing w:val="-1"/>
          <w:w w:val="99"/>
        </w:rPr>
        <w:t>b</w:t>
      </w:r>
      <w:r>
        <w:rPr>
          <w:w w:val="99"/>
        </w:rPr>
        <w:t>er</w:t>
      </w:r>
      <w:r>
        <w:t xml:space="preserve"> </w:t>
      </w:r>
      <w:r>
        <w:rPr>
          <w:spacing w:val="-26"/>
        </w:rPr>
        <w:t xml:space="preserve"> </w:t>
      </w:r>
      <w:r>
        <w:rPr>
          <w:w w:val="99"/>
        </w:rPr>
        <w:t>(</w:t>
      </w:r>
      <w:r>
        <w:rPr>
          <w:spacing w:val="-1"/>
          <w:w w:val="99"/>
        </w:rPr>
        <w:t>C</w:t>
      </w:r>
      <w:r>
        <w:rPr>
          <w:w w:val="99"/>
        </w:rPr>
        <w:t>&amp;</w:t>
      </w:r>
      <w:r>
        <w:rPr>
          <w:spacing w:val="-4"/>
          <w:w w:val="99"/>
        </w:rPr>
        <w:t>M</w:t>
      </w:r>
      <w:r>
        <w:rPr>
          <w:w w:val="99"/>
        </w:rPr>
        <w:t>)</w:t>
      </w:r>
      <w:r>
        <w:t xml:space="preserve"> </w:t>
      </w:r>
      <w:r>
        <w:rPr>
          <w:spacing w:val="-26"/>
        </w:rPr>
        <w:t xml:space="preserve"> </w:t>
      </w:r>
      <w:r>
        <w:rPr>
          <w:spacing w:val="-1"/>
          <w:w w:val="99"/>
        </w:rPr>
        <w:t>a</w:t>
      </w:r>
      <w:r>
        <w:rPr>
          <w:w w:val="99"/>
        </w:rPr>
        <w:t>nd</w:t>
      </w:r>
      <w:r>
        <w:t xml:space="preserve"> </w:t>
      </w:r>
      <w:r>
        <w:rPr>
          <w:spacing w:val="-26"/>
        </w:rPr>
        <w:t xml:space="preserve"> </w:t>
      </w:r>
      <w:r>
        <w:rPr>
          <w:spacing w:val="1"/>
          <w:w w:val="99"/>
        </w:rPr>
        <w:t>w</w:t>
      </w:r>
      <w:r>
        <w:rPr>
          <w:spacing w:val="-1"/>
          <w:w w:val="99"/>
        </w:rPr>
        <w:t>a</w:t>
      </w:r>
      <w:r>
        <w:rPr>
          <w:w w:val="99"/>
        </w:rPr>
        <w:t>s</w:t>
      </w:r>
      <w:r>
        <w:t xml:space="preserve"> </w:t>
      </w:r>
      <w:r>
        <w:rPr>
          <w:spacing w:val="-26"/>
        </w:rPr>
        <w:t xml:space="preserve"> </w:t>
      </w:r>
      <w:r>
        <w:rPr>
          <w:spacing w:val="-1"/>
          <w:w w:val="99"/>
        </w:rPr>
        <w:t>a</w:t>
      </w:r>
      <w:r>
        <w:rPr>
          <w:w w:val="99"/>
        </w:rPr>
        <w:t>p</w:t>
      </w:r>
      <w:r>
        <w:rPr>
          <w:spacing w:val="-1"/>
          <w:w w:val="99"/>
        </w:rPr>
        <w:t>p</w:t>
      </w:r>
      <w:r>
        <w:rPr>
          <w:w w:val="99"/>
        </w:rPr>
        <w:t>r</w:t>
      </w:r>
      <w:r>
        <w:rPr>
          <w:spacing w:val="-1"/>
          <w:w w:val="99"/>
        </w:rPr>
        <w:t>o</w:t>
      </w:r>
      <w:r>
        <w:rPr>
          <w:spacing w:val="-3"/>
          <w:w w:val="99"/>
        </w:rPr>
        <w:t>v</w:t>
      </w:r>
      <w:r>
        <w:rPr>
          <w:spacing w:val="-1"/>
          <w:w w:val="99"/>
        </w:rPr>
        <w:t>e</w:t>
      </w:r>
      <w:r>
        <w:rPr>
          <w:w w:val="99"/>
        </w:rPr>
        <w:t>d</w:t>
      </w:r>
      <w:r>
        <w:t xml:space="preserve"> </w:t>
      </w:r>
      <w:r>
        <w:rPr>
          <w:spacing w:val="-26"/>
        </w:rPr>
        <w:t xml:space="preserve"> </w:t>
      </w:r>
      <w:r>
        <w:rPr>
          <w:spacing w:val="2"/>
          <w:w w:val="99"/>
        </w:rPr>
        <w:t>b</w:t>
      </w:r>
      <w:r>
        <w:rPr>
          <w:w w:val="99"/>
        </w:rPr>
        <w:t>y</w:t>
      </w:r>
      <w:r>
        <w:t xml:space="preserve"> </w:t>
      </w:r>
      <w:r>
        <w:rPr>
          <w:spacing w:val="-29"/>
        </w:rPr>
        <w:t xml:space="preserve"> </w:t>
      </w:r>
      <w:r>
        <w:rPr>
          <w:w w:val="99"/>
        </w:rPr>
        <w:t>the</w:t>
      </w:r>
      <w:r>
        <w:t xml:space="preserve"> </w:t>
      </w:r>
      <w:r>
        <w:rPr>
          <w:spacing w:val="-24"/>
        </w:rPr>
        <w:t xml:space="preserve"> </w:t>
      </w:r>
      <w:r>
        <w:rPr>
          <w:spacing w:val="-1"/>
          <w:w w:val="99"/>
        </w:rPr>
        <w:t>Chai</w:t>
      </w:r>
      <w:r>
        <w:rPr>
          <w:w w:val="99"/>
        </w:rPr>
        <w:t>r</w:t>
      </w:r>
      <w:r>
        <w:rPr>
          <w:spacing w:val="-1"/>
          <w:w w:val="99"/>
        </w:rPr>
        <w:t>p</w:t>
      </w:r>
      <w:r>
        <w:rPr>
          <w:w w:val="99"/>
        </w:rPr>
        <w:t>erson</w:t>
      </w:r>
      <w:r>
        <w:t xml:space="preserve"> </w:t>
      </w:r>
      <w:r>
        <w:rPr>
          <w:spacing w:val="-26"/>
        </w:rPr>
        <w:t xml:space="preserve"> </w:t>
      </w:r>
      <w:r>
        <w:rPr>
          <w:w w:val="33"/>
        </w:rPr>
        <w:t>―</w:t>
      </w:r>
      <w:r>
        <w:rPr>
          <w:w w:val="99"/>
        </w:rPr>
        <w:t>f</w:t>
      </w:r>
      <w:r>
        <w:rPr>
          <w:spacing w:val="-2"/>
          <w:w w:val="99"/>
        </w:rPr>
        <w:t>o</w:t>
      </w:r>
      <w:r>
        <w:rPr>
          <w:w w:val="99"/>
        </w:rPr>
        <w:t xml:space="preserve">r </w:t>
      </w:r>
      <w:r>
        <w:t>deliberations and approval of the</w:t>
      </w:r>
      <w:r>
        <w:rPr>
          <w:spacing w:val="-7"/>
        </w:rPr>
        <w:t xml:space="preserve"> </w:t>
      </w:r>
      <w:r>
        <w:t>Board‖.</w:t>
      </w:r>
    </w:p>
    <w:p w:rsidR="008215AB" w:rsidRDefault="008215AB">
      <w:pPr>
        <w:pStyle w:val="BodyText"/>
        <w:spacing w:before="1"/>
      </w:pPr>
    </w:p>
    <w:p w:rsidR="008215AB" w:rsidRDefault="006513FA">
      <w:pPr>
        <w:pStyle w:val="ListParagraph"/>
        <w:numPr>
          <w:ilvl w:val="0"/>
          <w:numId w:val="8"/>
        </w:numPr>
        <w:tabs>
          <w:tab w:val="left" w:pos="1221"/>
        </w:tabs>
        <w:spacing w:line="480" w:lineRule="auto"/>
        <w:ind w:right="115" w:firstLine="0"/>
        <w:jc w:val="both"/>
        <w:rPr>
          <w:sz w:val="25"/>
        </w:rPr>
      </w:pPr>
      <w:r>
        <w:rPr>
          <w:sz w:val="25"/>
        </w:rPr>
        <w:t>On 10 August 2018, a meeting was held by the Board. The minutes of the Board meeting recorded that out of four cases where the quotes for projected PNG domestic connections were higher than 100 per cent of the households under the 2011 Census, one of the b</w:t>
      </w:r>
      <w:r>
        <w:rPr>
          <w:sz w:val="25"/>
        </w:rPr>
        <w:t>idders for GA 63 was not under consideration as its composite score was not the highest amongst the bids received</w:t>
      </w:r>
      <w:r>
        <w:rPr>
          <w:spacing w:val="10"/>
          <w:sz w:val="25"/>
        </w:rPr>
        <w:t xml:space="preserve"> </w:t>
      </w:r>
      <w:r>
        <w:rPr>
          <w:sz w:val="25"/>
        </w:rPr>
        <w:t>for</w:t>
      </w:r>
      <w:r>
        <w:rPr>
          <w:spacing w:val="12"/>
          <w:sz w:val="25"/>
        </w:rPr>
        <w:t xml:space="preserve"> </w:t>
      </w:r>
      <w:r>
        <w:rPr>
          <w:sz w:val="25"/>
        </w:rPr>
        <w:t>the</w:t>
      </w:r>
      <w:r>
        <w:rPr>
          <w:spacing w:val="11"/>
          <w:sz w:val="25"/>
        </w:rPr>
        <w:t xml:space="preserve"> </w:t>
      </w:r>
      <w:r>
        <w:rPr>
          <w:sz w:val="25"/>
        </w:rPr>
        <w:t>GA.</w:t>
      </w:r>
      <w:r>
        <w:rPr>
          <w:spacing w:val="13"/>
          <w:sz w:val="25"/>
        </w:rPr>
        <w:t xml:space="preserve"> </w:t>
      </w:r>
      <w:r>
        <w:rPr>
          <w:sz w:val="25"/>
        </w:rPr>
        <w:t>The</w:t>
      </w:r>
      <w:r>
        <w:rPr>
          <w:spacing w:val="10"/>
          <w:sz w:val="25"/>
        </w:rPr>
        <w:t xml:space="preserve"> </w:t>
      </w:r>
      <w:r>
        <w:rPr>
          <w:sz w:val="25"/>
        </w:rPr>
        <w:t>other</w:t>
      </w:r>
      <w:r>
        <w:rPr>
          <w:spacing w:val="11"/>
          <w:sz w:val="25"/>
        </w:rPr>
        <w:t xml:space="preserve"> </w:t>
      </w:r>
      <w:r>
        <w:rPr>
          <w:sz w:val="25"/>
        </w:rPr>
        <w:t>three</w:t>
      </w:r>
      <w:r>
        <w:rPr>
          <w:spacing w:val="11"/>
          <w:sz w:val="25"/>
        </w:rPr>
        <w:t xml:space="preserve"> </w:t>
      </w:r>
      <w:r>
        <w:rPr>
          <w:sz w:val="25"/>
        </w:rPr>
        <w:t>bidders</w:t>
      </w:r>
      <w:r>
        <w:rPr>
          <w:spacing w:val="10"/>
          <w:sz w:val="25"/>
        </w:rPr>
        <w:t xml:space="preserve"> </w:t>
      </w:r>
      <w:r>
        <w:rPr>
          <w:sz w:val="25"/>
        </w:rPr>
        <w:t>who</w:t>
      </w:r>
      <w:r>
        <w:rPr>
          <w:spacing w:val="10"/>
          <w:sz w:val="25"/>
        </w:rPr>
        <w:t xml:space="preserve"> </w:t>
      </w:r>
      <w:r>
        <w:rPr>
          <w:sz w:val="25"/>
        </w:rPr>
        <w:t>had</w:t>
      </w:r>
      <w:r>
        <w:rPr>
          <w:spacing w:val="11"/>
          <w:sz w:val="25"/>
        </w:rPr>
        <w:t xml:space="preserve"> </w:t>
      </w:r>
      <w:r>
        <w:rPr>
          <w:sz w:val="25"/>
        </w:rPr>
        <w:t>quoted</w:t>
      </w:r>
      <w:r>
        <w:rPr>
          <w:spacing w:val="11"/>
          <w:sz w:val="25"/>
        </w:rPr>
        <w:t xml:space="preserve"> </w:t>
      </w:r>
      <w:r>
        <w:rPr>
          <w:sz w:val="25"/>
        </w:rPr>
        <w:t>more</w:t>
      </w:r>
      <w:r>
        <w:rPr>
          <w:spacing w:val="11"/>
          <w:sz w:val="25"/>
        </w:rPr>
        <w:t xml:space="preserve"> </w:t>
      </w:r>
      <w:r>
        <w:rPr>
          <w:sz w:val="25"/>
        </w:rPr>
        <w:t>than</w:t>
      </w:r>
      <w:r>
        <w:rPr>
          <w:spacing w:val="10"/>
          <w:sz w:val="25"/>
        </w:rPr>
        <w:t xml:space="preserve"> </w:t>
      </w:r>
      <w:r>
        <w:rPr>
          <w:sz w:val="25"/>
        </w:rPr>
        <w:t>100</w:t>
      </w:r>
      <w:r>
        <w:rPr>
          <w:spacing w:val="11"/>
          <w:sz w:val="25"/>
        </w:rPr>
        <w:t xml:space="preserve"> </w:t>
      </w:r>
      <w:r>
        <w:rPr>
          <w:sz w:val="25"/>
        </w:rPr>
        <w:t>per</w:t>
      </w:r>
    </w:p>
    <w:p w:rsidR="008215AB" w:rsidRDefault="008215AB">
      <w:pPr>
        <w:spacing w:line="480" w:lineRule="auto"/>
        <w:jc w:val="both"/>
        <w:rPr>
          <w:sz w:val="25"/>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pPr>
      <w:r>
        <w:t>cent of the households for PNG domestic connections wer</w:t>
      </w:r>
      <w:r>
        <w:t>e reflected in the following table:</w:t>
      </w:r>
    </w:p>
    <w:p w:rsidR="008215AB" w:rsidRDefault="006513FA">
      <w:pPr>
        <w:pStyle w:val="BodyText"/>
        <w:spacing w:after="5" w:line="287" w:lineRule="exact"/>
        <w:ind w:left="1614"/>
      </w:pPr>
      <w:r>
        <w:rPr>
          <w:w w:val="33"/>
        </w:rPr>
        <w:t>―</w:t>
      </w:r>
    </w:p>
    <w:tbl>
      <w:tblPr>
        <w:tblW w:w="0" w:type="auto"/>
        <w:tblInd w:w="1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632"/>
        <w:gridCol w:w="1455"/>
        <w:gridCol w:w="1731"/>
        <w:gridCol w:w="2012"/>
      </w:tblGrid>
      <w:tr w:rsidR="008215AB">
        <w:trPr>
          <w:trHeight w:val="1389"/>
        </w:trPr>
        <w:tc>
          <w:tcPr>
            <w:tcW w:w="605" w:type="dxa"/>
          </w:tcPr>
          <w:p w:rsidR="008215AB" w:rsidRDefault="006513FA">
            <w:pPr>
              <w:pStyle w:val="TableParagraph"/>
              <w:spacing w:line="276" w:lineRule="auto"/>
              <w:ind w:left="105" w:right="131"/>
              <w:rPr>
                <w:b/>
                <w:sz w:val="21"/>
              </w:rPr>
            </w:pPr>
            <w:r>
              <w:rPr>
                <w:b/>
                <w:sz w:val="21"/>
              </w:rPr>
              <w:t>Sl No.</w:t>
            </w:r>
          </w:p>
        </w:tc>
        <w:tc>
          <w:tcPr>
            <w:tcW w:w="632" w:type="dxa"/>
          </w:tcPr>
          <w:p w:rsidR="008215AB" w:rsidRDefault="006513FA">
            <w:pPr>
              <w:pStyle w:val="TableParagraph"/>
              <w:spacing w:line="236" w:lineRule="exact"/>
              <w:rPr>
                <w:b/>
                <w:sz w:val="21"/>
              </w:rPr>
            </w:pPr>
            <w:r>
              <w:rPr>
                <w:b/>
                <w:sz w:val="21"/>
              </w:rPr>
              <w:t>GA</w:t>
            </w:r>
          </w:p>
          <w:p w:rsidR="008215AB" w:rsidRDefault="006513FA">
            <w:pPr>
              <w:pStyle w:val="TableParagraph"/>
              <w:spacing w:before="37"/>
              <w:rPr>
                <w:b/>
                <w:sz w:val="21"/>
              </w:rPr>
            </w:pPr>
            <w:r>
              <w:rPr>
                <w:b/>
                <w:sz w:val="21"/>
              </w:rPr>
              <w:t>No.</w:t>
            </w:r>
          </w:p>
        </w:tc>
        <w:tc>
          <w:tcPr>
            <w:tcW w:w="1455" w:type="dxa"/>
          </w:tcPr>
          <w:p w:rsidR="008215AB" w:rsidRDefault="006513FA">
            <w:pPr>
              <w:pStyle w:val="TableParagraph"/>
              <w:spacing w:line="236" w:lineRule="exact"/>
              <w:rPr>
                <w:b/>
                <w:sz w:val="21"/>
              </w:rPr>
            </w:pPr>
            <w:r>
              <w:rPr>
                <w:b/>
                <w:sz w:val="21"/>
              </w:rPr>
              <w:t>GA name</w:t>
            </w:r>
          </w:p>
        </w:tc>
        <w:tc>
          <w:tcPr>
            <w:tcW w:w="1731" w:type="dxa"/>
          </w:tcPr>
          <w:p w:rsidR="008215AB" w:rsidRDefault="006513FA">
            <w:pPr>
              <w:pStyle w:val="TableParagraph"/>
              <w:spacing w:line="236" w:lineRule="exact"/>
              <w:ind w:left="106"/>
              <w:rPr>
                <w:b/>
                <w:sz w:val="21"/>
              </w:rPr>
            </w:pPr>
            <w:r>
              <w:rPr>
                <w:b/>
                <w:sz w:val="21"/>
              </w:rPr>
              <w:t>Bidding Entity</w:t>
            </w:r>
          </w:p>
        </w:tc>
        <w:tc>
          <w:tcPr>
            <w:tcW w:w="2012" w:type="dxa"/>
          </w:tcPr>
          <w:p w:rsidR="008215AB" w:rsidRDefault="006513FA">
            <w:pPr>
              <w:pStyle w:val="TableParagraph"/>
              <w:spacing w:line="276" w:lineRule="auto"/>
              <w:ind w:left="106"/>
              <w:rPr>
                <w:b/>
                <w:sz w:val="21"/>
              </w:rPr>
            </w:pPr>
            <w:r>
              <w:rPr>
                <w:b/>
                <w:sz w:val="21"/>
              </w:rPr>
              <w:t>Quoted for PNG Domestic connections as % of households as</w:t>
            </w:r>
          </w:p>
          <w:p w:rsidR="008215AB" w:rsidRDefault="006513FA">
            <w:pPr>
              <w:pStyle w:val="TableParagraph"/>
              <w:ind w:left="106"/>
              <w:rPr>
                <w:b/>
                <w:sz w:val="21"/>
              </w:rPr>
            </w:pPr>
            <w:r>
              <w:rPr>
                <w:b/>
                <w:sz w:val="21"/>
              </w:rPr>
              <w:t>per 2011 census</w:t>
            </w:r>
          </w:p>
        </w:tc>
      </w:tr>
      <w:tr w:rsidR="008215AB">
        <w:trPr>
          <w:trHeight w:val="1944"/>
        </w:trPr>
        <w:tc>
          <w:tcPr>
            <w:tcW w:w="605" w:type="dxa"/>
          </w:tcPr>
          <w:p w:rsidR="008215AB" w:rsidRDefault="006513FA">
            <w:pPr>
              <w:pStyle w:val="TableParagraph"/>
              <w:spacing w:line="236" w:lineRule="exact"/>
              <w:ind w:left="105"/>
              <w:rPr>
                <w:sz w:val="21"/>
              </w:rPr>
            </w:pPr>
            <w:r>
              <w:rPr>
                <w:sz w:val="21"/>
              </w:rPr>
              <w:t>1.</w:t>
            </w:r>
          </w:p>
        </w:tc>
        <w:tc>
          <w:tcPr>
            <w:tcW w:w="632" w:type="dxa"/>
          </w:tcPr>
          <w:p w:rsidR="008215AB" w:rsidRDefault="006513FA">
            <w:pPr>
              <w:pStyle w:val="TableParagraph"/>
              <w:spacing w:line="236" w:lineRule="exact"/>
              <w:rPr>
                <w:sz w:val="21"/>
              </w:rPr>
            </w:pPr>
            <w:r>
              <w:rPr>
                <w:sz w:val="21"/>
              </w:rPr>
              <w:t>61</w:t>
            </w:r>
          </w:p>
        </w:tc>
        <w:tc>
          <w:tcPr>
            <w:tcW w:w="1455" w:type="dxa"/>
          </w:tcPr>
          <w:p w:rsidR="008215AB" w:rsidRDefault="006513FA">
            <w:pPr>
              <w:pStyle w:val="TableParagraph"/>
              <w:spacing w:line="273" w:lineRule="auto"/>
              <w:ind w:right="80"/>
              <w:rPr>
                <w:sz w:val="21"/>
              </w:rPr>
            </w:pPr>
            <w:r>
              <w:rPr>
                <w:sz w:val="21"/>
              </w:rPr>
              <w:t>Kanchipuram Distt.</w:t>
            </w:r>
          </w:p>
        </w:tc>
        <w:tc>
          <w:tcPr>
            <w:tcW w:w="1731" w:type="dxa"/>
          </w:tcPr>
          <w:p w:rsidR="008215AB" w:rsidRDefault="006513FA">
            <w:pPr>
              <w:pStyle w:val="TableParagraph"/>
              <w:spacing w:line="273" w:lineRule="auto"/>
              <w:ind w:left="106" w:right="287"/>
              <w:rPr>
                <w:sz w:val="21"/>
              </w:rPr>
            </w:pPr>
            <w:r>
              <w:rPr>
                <w:sz w:val="21"/>
              </w:rPr>
              <w:t>Consortium of AG&amp;P LNG</w:t>
            </w:r>
          </w:p>
          <w:p w:rsidR="008215AB" w:rsidRDefault="006513FA">
            <w:pPr>
              <w:pStyle w:val="TableParagraph"/>
              <w:spacing w:line="276" w:lineRule="auto"/>
              <w:ind w:left="106" w:right="89"/>
              <w:rPr>
                <w:sz w:val="21"/>
              </w:rPr>
            </w:pPr>
            <w:r>
              <w:rPr>
                <w:sz w:val="21"/>
              </w:rPr>
              <w:t>marketing Pte Ltd. and Atlantic Gulf &amp; Pacific Company of</w:t>
            </w:r>
          </w:p>
          <w:p w:rsidR="008215AB" w:rsidRDefault="006513FA">
            <w:pPr>
              <w:pStyle w:val="TableParagraph"/>
              <w:ind w:left="106"/>
              <w:rPr>
                <w:sz w:val="21"/>
              </w:rPr>
            </w:pPr>
            <w:r>
              <w:rPr>
                <w:sz w:val="21"/>
              </w:rPr>
              <w:t>Manila Inc.</w:t>
            </w:r>
          </w:p>
        </w:tc>
        <w:tc>
          <w:tcPr>
            <w:tcW w:w="2012" w:type="dxa"/>
          </w:tcPr>
          <w:p w:rsidR="008215AB" w:rsidRDefault="006513FA">
            <w:pPr>
              <w:pStyle w:val="TableParagraph"/>
              <w:spacing w:line="236" w:lineRule="exact"/>
              <w:ind w:left="106"/>
              <w:rPr>
                <w:sz w:val="21"/>
              </w:rPr>
            </w:pPr>
            <w:r>
              <w:rPr>
                <w:sz w:val="21"/>
              </w:rPr>
              <w:t>114%</w:t>
            </w:r>
          </w:p>
        </w:tc>
      </w:tr>
      <w:tr w:rsidR="008215AB">
        <w:trPr>
          <w:trHeight w:val="832"/>
        </w:trPr>
        <w:tc>
          <w:tcPr>
            <w:tcW w:w="605" w:type="dxa"/>
          </w:tcPr>
          <w:p w:rsidR="008215AB" w:rsidRDefault="006513FA">
            <w:pPr>
              <w:pStyle w:val="TableParagraph"/>
              <w:spacing w:line="236" w:lineRule="exact"/>
              <w:ind w:left="105"/>
              <w:rPr>
                <w:sz w:val="21"/>
              </w:rPr>
            </w:pPr>
            <w:r>
              <w:rPr>
                <w:sz w:val="21"/>
              </w:rPr>
              <w:t>2.</w:t>
            </w:r>
          </w:p>
        </w:tc>
        <w:tc>
          <w:tcPr>
            <w:tcW w:w="632" w:type="dxa"/>
          </w:tcPr>
          <w:p w:rsidR="008215AB" w:rsidRDefault="006513FA">
            <w:pPr>
              <w:pStyle w:val="TableParagraph"/>
              <w:spacing w:line="236" w:lineRule="exact"/>
              <w:rPr>
                <w:sz w:val="21"/>
              </w:rPr>
            </w:pPr>
            <w:r>
              <w:rPr>
                <w:sz w:val="21"/>
              </w:rPr>
              <w:t>62</w:t>
            </w:r>
          </w:p>
        </w:tc>
        <w:tc>
          <w:tcPr>
            <w:tcW w:w="1455" w:type="dxa"/>
          </w:tcPr>
          <w:p w:rsidR="008215AB" w:rsidRDefault="006513FA">
            <w:pPr>
              <w:pStyle w:val="TableParagraph"/>
              <w:spacing w:line="236" w:lineRule="exact"/>
              <w:rPr>
                <w:sz w:val="21"/>
              </w:rPr>
            </w:pPr>
            <w:r>
              <w:rPr>
                <w:sz w:val="21"/>
              </w:rPr>
              <w:t>Chennai &amp;</w:t>
            </w:r>
          </w:p>
          <w:p w:rsidR="008215AB" w:rsidRDefault="006513FA">
            <w:pPr>
              <w:pStyle w:val="TableParagraph"/>
              <w:spacing w:before="8" w:line="270" w:lineRule="atLeast"/>
              <w:ind w:right="454"/>
              <w:rPr>
                <w:sz w:val="21"/>
              </w:rPr>
            </w:pPr>
            <w:r>
              <w:rPr>
                <w:sz w:val="21"/>
              </w:rPr>
              <w:t>Tiruvallur Districts</w:t>
            </w:r>
          </w:p>
        </w:tc>
        <w:tc>
          <w:tcPr>
            <w:tcW w:w="1731" w:type="dxa"/>
          </w:tcPr>
          <w:p w:rsidR="008215AB" w:rsidRDefault="006513FA">
            <w:pPr>
              <w:pStyle w:val="TableParagraph"/>
              <w:spacing w:line="276" w:lineRule="auto"/>
              <w:ind w:left="106" w:right="112"/>
              <w:rPr>
                <w:sz w:val="21"/>
              </w:rPr>
            </w:pPr>
            <w:r>
              <w:rPr>
                <w:sz w:val="21"/>
              </w:rPr>
              <w:t>Torrent Gas Pvt Ltd.</w:t>
            </w:r>
          </w:p>
        </w:tc>
        <w:tc>
          <w:tcPr>
            <w:tcW w:w="2012" w:type="dxa"/>
          </w:tcPr>
          <w:p w:rsidR="008215AB" w:rsidRDefault="006513FA">
            <w:pPr>
              <w:pStyle w:val="TableParagraph"/>
              <w:spacing w:line="236" w:lineRule="exact"/>
              <w:ind w:left="106"/>
              <w:rPr>
                <w:sz w:val="21"/>
              </w:rPr>
            </w:pPr>
            <w:r>
              <w:rPr>
                <w:sz w:val="21"/>
              </w:rPr>
              <w:t>157%</w:t>
            </w:r>
          </w:p>
        </w:tc>
      </w:tr>
      <w:tr w:rsidR="008215AB">
        <w:trPr>
          <w:trHeight w:val="1111"/>
        </w:trPr>
        <w:tc>
          <w:tcPr>
            <w:tcW w:w="605" w:type="dxa"/>
          </w:tcPr>
          <w:p w:rsidR="008215AB" w:rsidRDefault="006513FA">
            <w:pPr>
              <w:pStyle w:val="TableParagraph"/>
              <w:spacing w:line="236" w:lineRule="exact"/>
              <w:ind w:left="105"/>
              <w:rPr>
                <w:sz w:val="21"/>
              </w:rPr>
            </w:pPr>
            <w:r>
              <w:rPr>
                <w:sz w:val="21"/>
              </w:rPr>
              <w:t>3.</w:t>
            </w:r>
          </w:p>
        </w:tc>
        <w:tc>
          <w:tcPr>
            <w:tcW w:w="632" w:type="dxa"/>
          </w:tcPr>
          <w:p w:rsidR="008215AB" w:rsidRDefault="006513FA">
            <w:pPr>
              <w:pStyle w:val="TableParagraph"/>
              <w:spacing w:line="236" w:lineRule="exact"/>
              <w:rPr>
                <w:sz w:val="21"/>
              </w:rPr>
            </w:pPr>
            <w:r>
              <w:rPr>
                <w:sz w:val="21"/>
              </w:rPr>
              <w:t>72</w:t>
            </w:r>
          </w:p>
        </w:tc>
        <w:tc>
          <w:tcPr>
            <w:tcW w:w="1455" w:type="dxa"/>
          </w:tcPr>
          <w:p w:rsidR="008215AB" w:rsidRDefault="006513FA">
            <w:pPr>
              <w:pStyle w:val="TableParagraph"/>
              <w:spacing w:line="276" w:lineRule="auto"/>
              <w:ind w:right="173"/>
              <w:rPr>
                <w:sz w:val="21"/>
              </w:rPr>
            </w:pPr>
            <w:r>
              <w:rPr>
                <w:sz w:val="21"/>
              </w:rPr>
              <w:t>Medchal, Rangareddy &amp; Vikarabad</w:t>
            </w:r>
          </w:p>
          <w:p w:rsidR="008215AB" w:rsidRDefault="006513FA">
            <w:pPr>
              <w:pStyle w:val="TableParagraph"/>
              <w:spacing w:line="241" w:lineRule="exact"/>
              <w:rPr>
                <w:sz w:val="21"/>
              </w:rPr>
            </w:pPr>
            <w:r>
              <w:rPr>
                <w:sz w:val="21"/>
              </w:rPr>
              <w:t>Districts</w:t>
            </w:r>
          </w:p>
        </w:tc>
        <w:tc>
          <w:tcPr>
            <w:tcW w:w="1731" w:type="dxa"/>
          </w:tcPr>
          <w:p w:rsidR="008215AB" w:rsidRDefault="006513FA">
            <w:pPr>
              <w:pStyle w:val="TableParagraph"/>
              <w:spacing w:line="276" w:lineRule="auto"/>
              <w:ind w:left="106" w:right="112"/>
              <w:rPr>
                <w:sz w:val="21"/>
              </w:rPr>
            </w:pPr>
            <w:r>
              <w:rPr>
                <w:sz w:val="21"/>
              </w:rPr>
              <w:t>Torrent Gas Pvt Ltd.</w:t>
            </w:r>
          </w:p>
        </w:tc>
        <w:tc>
          <w:tcPr>
            <w:tcW w:w="2012" w:type="dxa"/>
          </w:tcPr>
          <w:p w:rsidR="008215AB" w:rsidRDefault="006513FA">
            <w:pPr>
              <w:pStyle w:val="TableParagraph"/>
              <w:spacing w:line="236" w:lineRule="exact"/>
              <w:ind w:left="106"/>
              <w:rPr>
                <w:sz w:val="21"/>
              </w:rPr>
            </w:pPr>
            <w:r>
              <w:rPr>
                <w:sz w:val="21"/>
              </w:rPr>
              <w:t>220%</w:t>
            </w:r>
          </w:p>
        </w:tc>
      </w:tr>
    </w:tbl>
    <w:p w:rsidR="008215AB" w:rsidRDefault="006513FA">
      <w:pPr>
        <w:pStyle w:val="BodyText"/>
        <w:spacing w:line="283" w:lineRule="exact"/>
        <w:ind w:right="791"/>
        <w:jc w:val="right"/>
      </w:pPr>
      <w:r>
        <w:rPr>
          <w:w w:val="80"/>
        </w:rPr>
        <w:t>‖</w:t>
      </w:r>
    </w:p>
    <w:p w:rsidR="008215AB" w:rsidRDefault="006513FA">
      <w:pPr>
        <w:pStyle w:val="BodyText"/>
        <w:spacing w:before="240"/>
        <w:ind w:left="500"/>
      </w:pPr>
      <w:r>
        <w:t>The minutes of the meeting went on to record that:</w:t>
      </w:r>
    </w:p>
    <w:p w:rsidR="008215AB" w:rsidRDefault="006513FA">
      <w:pPr>
        <w:spacing w:before="240" w:line="276" w:lineRule="auto"/>
        <w:ind w:left="1940" w:right="1941"/>
        <w:jc w:val="both"/>
        <w:rPr>
          <w:sz w:val="21"/>
        </w:rPr>
      </w:pPr>
      <w:r>
        <w:rPr>
          <w:spacing w:val="-1"/>
          <w:w w:val="33"/>
          <w:sz w:val="21"/>
        </w:rPr>
        <w:t>―</w:t>
      </w:r>
      <w:r>
        <w:rPr>
          <w:sz w:val="21"/>
        </w:rPr>
        <w:t>D</w:t>
      </w:r>
      <w:r>
        <w:rPr>
          <w:spacing w:val="-1"/>
          <w:sz w:val="21"/>
        </w:rPr>
        <w:t>ur</w:t>
      </w:r>
      <w:r>
        <w:rPr>
          <w:spacing w:val="-2"/>
          <w:sz w:val="21"/>
        </w:rPr>
        <w:t>i</w:t>
      </w:r>
      <w:r>
        <w:rPr>
          <w:spacing w:val="-1"/>
          <w:sz w:val="21"/>
        </w:rPr>
        <w:t>n</w:t>
      </w:r>
      <w:r>
        <w:rPr>
          <w:sz w:val="21"/>
        </w:rPr>
        <w:t>g</w:t>
      </w:r>
      <w:r>
        <w:rPr>
          <w:sz w:val="21"/>
        </w:rPr>
        <w:t xml:space="preserve"> </w:t>
      </w:r>
      <w:r>
        <w:rPr>
          <w:spacing w:val="13"/>
          <w:sz w:val="21"/>
        </w:rPr>
        <w:t xml:space="preserve"> </w:t>
      </w:r>
      <w:r>
        <w:rPr>
          <w:sz w:val="21"/>
        </w:rPr>
        <w:t>d</w:t>
      </w:r>
      <w:r>
        <w:rPr>
          <w:spacing w:val="-3"/>
          <w:sz w:val="21"/>
        </w:rPr>
        <w:t>e</w:t>
      </w:r>
      <w:r>
        <w:rPr>
          <w:sz w:val="21"/>
        </w:rPr>
        <w:t>l</w:t>
      </w:r>
      <w:r>
        <w:rPr>
          <w:spacing w:val="-2"/>
          <w:sz w:val="21"/>
        </w:rPr>
        <w:t>i</w:t>
      </w:r>
      <w:r>
        <w:rPr>
          <w:sz w:val="21"/>
        </w:rPr>
        <w:t>bera</w:t>
      </w:r>
      <w:r>
        <w:rPr>
          <w:spacing w:val="-4"/>
          <w:sz w:val="21"/>
        </w:rPr>
        <w:t>t</w:t>
      </w:r>
      <w:r>
        <w:rPr>
          <w:sz w:val="21"/>
        </w:rPr>
        <w:t>io</w:t>
      </w:r>
      <w:r>
        <w:rPr>
          <w:spacing w:val="-3"/>
          <w:sz w:val="21"/>
        </w:rPr>
        <w:t>n</w:t>
      </w:r>
      <w:r>
        <w:rPr>
          <w:sz w:val="21"/>
        </w:rPr>
        <w:t>s</w:t>
      </w:r>
      <w:r>
        <w:rPr>
          <w:sz w:val="21"/>
        </w:rPr>
        <w:t xml:space="preserve"> </w:t>
      </w:r>
      <w:r>
        <w:rPr>
          <w:spacing w:val="14"/>
          <w:sz w:val="21"/>
        </w:rPr>
        <w:t xml:space="preserve"> </w:t>
      </w:r>
      <w:r>
        <w:rPr>
          <w:sz w:val="21"/>
        </w:rPr>
        <w:t>in</w:t>
      </w:r>
      <w:r>
        <w:rPr>
          <w:sz w:val="21"/>
        </w:rPr>
        <w:t xml:space="preserve"> </w:t>
      </w:r>
      <w:r>
        <w:rPr>
          <w:spacing w:val="10"/>
          <w:sz w:val="21"/>
        </w:rPr>
        <w:t xml:space="preserve"> </w:t>
      </w:r>
      <w:r>
        <w:rPr>
          <w:spacing w:val="-2"/>
          <w:sz w:val="21"/>
        </w:rPr>
        <w:t>t</w:t>
      </w:r>
      <w:r>
        <w:rPr>
          <w:sz w:val="21"/>
        </w:rPr>
        <w:t>he</w:t>
      </w:r>
      <w:r>
        <w:rPr>
          <w:sz w:val="21"/>
        </w:rPr>
        <w:t xml:space="preserve"> </w:t>
      </w:r>
      <w:r>
        <w:rPr>
          <w:spacing w:val="12"/>
          <w:sz w:val="21"/>
        </w:rPr>
        <w:t xml:space="preserve"> </w:t>
      </w:r>
      <w:r>
        <w:rPr>
          <w:sz w:val="21"/>
        </w:rPr>
        <w:t>Board,</w:t>
      </w:r>
      <w:r>
        <w:rPr>
          <w:sz w:val="21"/>
        </w:rPr>
        <w:t xml:space="preserve"> </w:t>
      </w:r>
      <w:r>
        <w:rPr>
          <w:spacing w:val="11"/>
          <w:sz w:val="21"/>
        </w:rPr>
        <w:t xml:space="preserve"> </w:t>
      </w:r>
      <w:r>
        <w:rPr>
          <w:spacing w:val="-2"/>
          <w:sz w:val="21"/>
        </w:rPr>
        <w:t>t</w:t>
      </w:r>
      <w:r>
        <w:rPr>
          <w:sz w:val="21"/>
        </w:rPr>
        <w:t>he</w:t>
      </w:r>
      <w:r>
        <w:rPr>
          <w:sz w:val="21"/>
        </w:rPr>
        <w:t xml:space="preserve"> </w:t>
      </w:r>
      <w:r>
        <w:rPr>
          <w:spacing w:val="12"/>
          <w:sz w:val="21"/>
        </w:rPr>
        <w:t xml:space="preserve"> </w:t>
      </w:r>
      <w:r>
        <w:rPr>
          <w:spacing w:val="-2"/>
          <w:sz w:val="21"/>
        </w:rPr>
        <w:t>B</w:t>
      </w:r>
      <w:r>
        <w:rPr>
          <w:sz w:val="21"/>
        </w:rPr>
        <w:t>oard</w:t>
      </w:r>
      <w:r>
        <w:rPr>
          <w:sz w:val="21"/>
        </w:rPr>
        <w:t xml:space="preserve"> </w:t>
      </w:r>
      <w:r>
        <w:rPr>
          <w:spacing w:val="12"/>
          <w:sz w:val="21"/>
        </w:rPr>
        <w:t xml:space="preserve"> </w:t>
      </w:r>
      <w:r>
        <w:rPr>
          <w:spacing w:val="-4"/>
          <w:sz w:val="21"/>
        </w:rPr>
        <w:t>r</w:t>
      </w:r>
      <w:r>
        <w:rPr>
          <w:sz w:val="21"/>
        </w:rPr>
        <w:t>e</w:t>
      </w:r>
      <w:r>
        <w:rPr>
          <w:spacing w:val="1"/>
          <w:sz w:val="21"/>
        </w:rPr>
        <w:t>f</w:t>
      </w:r>
      <w:r>
        <w:rPr>
          <w:sz w:val="21"/>
        </w:rPr>
        <w:t>er</w:t>
      </w:r>
      <w:r>
        <w:rPr>
          <w:spacing w:val="-2"/>
          <w:sz w:val="21"/>
        </w:rPr>
        <w:t>r</w:t>
      </w:r>
      <w:r>
        <w:rPr>
          <w:spacing w:val="-3"/>
          <w:sz w:val="21"/>
        </w:rPr>
        <w:t>e</w:t>
      </w:r>
      <w:r>
        <w:rPr>
          <w:sz w:val="21"/>
        </w:rPr>
        <w:t>d</w:t>
      </w:r>
      <w:r>
        <w:rPr>
          <w:sz w:val="21"/>
        </w:rPr>
        <w:t xml:space="preserve"> </w:t>
      </w:r>
      <w:r>
        <w:rPr>
          <w:spacing w:val="12"/>
          <w:sz w:val="21"/>
        </w:rPr>
        <w:t xml:space="preserve"> </w:t>
      </w:r>
      <w:r>
        <w:rPr>
          <w:spacing w:val="-2"/>
          <w:sz w:val="21"/>
        </w:rPr>
        <w:t>t</w:t>
      </w:r>
      <w:r>
        <w:rPr>
          <w:sz w:val="21"/>
        </w:rPr>
        <w:t>o cl</w:t>
      </w:r>
      <w:r>
        <w:rPr>
          <w:spacing w:val="-1"/>
          <w:sz w:val="21"/>
        </w:rPr>
        <w:t>a</w:t>
      </w:r>
      <w:r>
        <w:rPr>
          <w:spacing w:val="-3"/>
          <w:sz w:val="21"/>
        </w:rPr>
        <w:t>u</w:t>
      </w:r>
      <w:r>
        <w:rPr>
          <w:sz w:val="21"/>
        </w:rPr>
        <w:t>se</w:t>
      </w:r>
      <w:r>
        <w:rPr>
          <w:sz w:val="21"/>
        </w:rPr>
        <w:t xml:space="preserve"> </w:t>
      </w:r>
      <w:r>
        <w:rPr>
          <w:spacing w:val="-7"/>
          <w:sz w:val="21"/>
        </w:rPr>
        <w:t xml:space="preserve"> </w:t>
      </w:r>
      <w:r>
        <w:rPr>
          <w:spacing w:val="-1"/>
          <w:sz w:val="21"/>
        </w:rPr>
        <w:t>4.4.</w:t>
      </w:r>
      <w:r>
        <w:rPr>
          <w:sz w:val="21"/>
        </w:rPr>
        <w:t>1</w:t>
      </w:r>
      <w:r>
        <w:rPr>
          <w:sz w:val="21"/>
        </w:rPr>
        <w:t xml:space="preserve"> </w:t>
      </w:r>
      <w:r>
        <w:rPr>
          <w:spacing w:val="-7"/>
          <w:sz w:val="21"/>
        </w:rPr>
        <w:t xml:space="preserve"> </w:t>
      </w:r>
      <w:r>
        <w:rPr>
          <w:spacing w:val="-1"/>
          <w:sz w:val="21"/>
        </w:rPr>
        <w:t>o</w:t>
      </w:r>
      <w:r>
        <w:rPr>
          <w:sz w:val="21"/>
        </w:rPr>
        <w:t>f</w:t>
      </w:r>
      <w:r>
        <w:rPr>
          <w:sz w:val="21"/>
        </w:rPr>
        <w:t xml:space="preserve"> </w:t>
      </w:r>
      <w:r>
        <w:rPr>
          <w:spacing w:val="-8"/>
          <w:sz w:val="21"/>
        </w:rPr>
        <w:t xml:space="preserve"> </w:t>
      </w:r>
      <w:r>
        <w:rPr>
          <w:sz w:val="21"/>
        </w:rPr>
        <w:t>A</w:t>
      </w:r>
      <w:r>
        <w:rPr>
          <w:spacing w:val="-2"/>
          <w:sz w:val="21"/>
        </w:rPr>
        <w:t>CB</w:t>
      </w:r>
      <w:r>
        <w:rPr>
          <w:sz w:val="21"/>
        </w:rPr>
        <w:t>D</w:t>
      </w:r>
      <w:r>
        <w:rPr>
          <w:sz w:val="21"/>
        </w:rPr>
        <w:t xml:space="preserve"> </w:t>
      </w:r>
      <w:r>
        <w:rPr>
          <w:spacing w:val="-4"/>
          <w:sz w:val="21"/>
        </w:rPr>
        <w:t xml:space="preserve"> </w:t>
      </w:r>
      <w:r>
        <w:rPr>
          <w:spacing w:val="-4"/>
          <w:sz w:val="21"/>
        </w:rPr>
        <w:t>w</w:t>
      </w:r>
      <w:r>
        <w:rPr>
          <w:spacing w:val="-1"/>
          <w:sz w:val="21"/>
        </w:rPr>
        <w:t>h</w:t>
      </w:r>
      <w:r>
        <w:rPr>
          <w:spacing w:val="1"/>
          <w:sz w:val="21"/>
        </w:rPr>
        <w:t>i</w:t>
      </w:r>
      <w:r>
        <w:rPr>
          <w:sz w:val="21"/>
        </w:rPr>
        <w:t>ch</w:t>
      </w:r>
      <w:r>
        <w:rPr>
          <w:sz w:val="21"/>
        </w:rPr>
        <w:t xml:space="preserve"> </w:t>
      </w:r>
      <w:r>
        <w:rPr>
          <w:spacing w:val="-7"/>
          <w:sz w:val="21"/>
        </w:rPr>
        <w:t xml:space="preserve"> </w:t>
      </w:r>
      <w:r>
        <w:rPr>
          <w:spacing w:val="-1"/>
          <w:sz w:val="21"/>
        </w:rPr>
        <w:t>re</w:t>
      </w:r>
      <w:r>
        <w:rPr>
          <w:spacing w:val="-3"/>
          <w:sz w:val="21"/>
        </w:rPr>
        <w:t>a</w:t>
      </w:r>
      <w:r>
        <w:rPr>
          <w:spacing w:val="-1"/>
          <w:sz w:val="21"/>
        </w:rPr>
        <w:t>ds</w:t>
      </w:r>
      <w:r>
        <w:rPr>
          <w:sz w:val="21"/>
        </w:rPr>
        <w:t>,</w:t>
      </w:r>
      <w:r>
        <w:rPr>
          <w:sz w:val="21"/>
        </w:rPr>
        <w:t xml:space="preserve"> </w:t>
      </w:r>
      <w:r>
        <w:rPr>
          <w:spacing w:val="-5"/>
          <w:sz w:val="21"/>
        </w:rPr>
        <w:t xml:space="preserve"> </w:t>
      </w:r>
      <w:r>
        <w:rPr>
          <w:spacing w:val="-4"/>
          <w:w w:val="33"/>
          <w:sz w:val="21"/>
        </w:rPr>
        <w:t>―</w:t>
      </w:r>
      <w:r>
        <w:rPr>
          <w:spacing w:val="-2"/>
          <w:sz w:val="21"/>
        </w:rPr>
        <w:t>P</w:t>
      </w:r>
      <w:r>
        <w:rPr>
          <w:sz w:val="21"/>
        </w:rPr>
        <w:t>N</w:t>
      </w:r>
      <w:r>
        <w:rPr>
          <w:spacing w:val="-2"/>
          <w:sz w:val="21"/>
        </w:rPr>
        <w:t>GR</w:t>
      </w:r>
      <w:r>
        <w:rPr>
          <w:sz w:val="21"/>
        </w:rPr>
        <w:t>B</w:t>
      </w:r>
      <w:r>
        <w:rPr>
          <w:sz w:val="21"/>
        </w:rPr>
        <w:t xml:space="preserve"> </w:t>
      </w:r>
      <w:r>
        <w:rPr>
          <w:spacing w:val="-4"/>
          <w:sz w:val="21"/>
        </w:rPr>
        <w:t xml:space="preserve"> </w:t>
      </w:r>
      <w:r>
        <w:rPr>
          <w:spacing w:val="-4"/>
          <w:sz w:val="21"/>
        </w:rPr>
        <w:t>r</w:t>
      </w:r>
      <w:r>
        <w:rPr>
          <w:spacing w:val="-1"/>
          <w:sz w:val="21"/>
        </w:rPr>
        <w:t>e</w:t>
      </w:r>
      <w:r>
        <w:rPr>
          <w:spacing w:val="-3"/>
          <w:sz w:val="21"/>
        </w:rPr>
        <w:t>s</w:t>
      </w:r>
      <w:r>
        <w:rPr>
          <w:spacing w:val="-1"/>
          <w:sz w:val="21"/>
        </w:rPr>
        <w:t>er</w:t>
      </w:r>
      <w:r>
        <w:rPr>
          <w:spacing w:val="-3"/>
          <w:sz w:val="21"/>
        </w:rPr>
        <w:t>v</w:t>
      </w:r>
      <w:r>
        <w:rPr>
          <w:spacing w:val="-1"/>
          <w:sz w:val="21"/>
        </w:rPr>
        <w:t>e</w:t>
      </w:r>
      <w:r>
        <w:rPr>
          <w:sz w:val="21"/>
        </w:rPr>
        <w:t>s</w:t>
      </w:r>
      <w:r>
        <w:rPr>
          <w:sz w:val="21"/>
        </w:rPr>
        <w:t xml:space="preserve"> </w:t>
      </w:r>
      <w:r>
        <w:rPr>
          <w:spacing w:val="-4"/>
          <w:sz w:val="21"/>
        </w:rPr>
        <w:t xml:space="preserve"> </w:t>
      </w:r>
      <w:r>
        <w:rPr>
          <w:spacing w:val="-2"/>
          <w:sz w:val="21"/>
        </w:rPr>
        <w:t>t</w:t>
      </w:r>
      <w:r>
        <w:rPr>
          <w:spacing w:val="-1"/>
          <w:sz w:val="21"/>
        </w:rPr>
        <w:t xml:space="preserve">he </w:t>
      </w:r>
      <w:r>
        <w:rPr>
          <w:sz w:val="21"/>
        </w:rPr>
        <w:t>right to reject any application cum bid comprising quoted work program considered by it to be unreasonably high or low.‖ In terms of this clause vide note dated 23.07.2018 (i</w:t>
      </w:r>
      <w:r>
        <w:rPr>
          <w:sz w:val="21"/>
        </w:rPr>
        <w:t>) lower and upper limits were decided for PNG domestic connections (ii) lower limits was decided for CNG Stations and (iii) no limit (higher or lower) was decided for Inch-KM of Steel pipeline. The Board deliberated that though lower and upper households w</w:t>
      </w:r>
      <w:r>
        <w:rPr>
          <w:sz w:val="21"/>
        </w:rPr>
        <w:t>ere decided, the same need not be a mechanical exercise and an opportunity be given to affected entities to explain reasonableness of their</w:t>
      </w:r>
      <w:r>
        <w:rPr>
          <w:spacing w:val="-17"/>
          <w:sz w:val="21"/>
        </w:rPr>
        <w:t xml:space="preserve"> </w:t>
      </w:r>
      <w:r>
        <w:rPr>
          <w:sz w:val="21"/>
        </w:rPr>
        <w:t>quotes.‖</w:t>
      </w:r>
    </w:p>
    <w:p w:rsidR="008215AB" w:rsidRDefault="008215AB">
      <w:pPr>
        <w:pStyle w:val="BodyText"/>
        <w:rPr>
          <w:sz w:val="20"/>
        </w:rPr>
      </w:pPr>
    </w:p>
    <w:p w:rsidR="008215AB" w:rsidRDefault="008215AB">
      <w:pPr>
        <w:pStyle w:val="BodyText"/>
        <w:spacing w:before="1"/>
        <w:rPr>
          <w:sz w:val="17"/>
        </w:rPr>
      </w:pPr>
    </w:p>
    <w:p w:rsidR="008215AB" w:rsidRDefault="006513FA">
      <w:pPr>
        <w:pStyle w:val="ListParagraph"/>
        <w:numPr>
          <w:ilvl w:val="0"/>
          <w:numId w:val="8"/>
        </w:numPr>
        <w:tabs>
          <w:tab w:val="left" w:pos="1221"/>
        </w:tabs>
        <w:spacing w:before="92" w:line="480" w:lineRule="auto"/>
        <w:ind w:right="114" w:firstLine="0"/>
        <w:jc w:val="both"/>
        <w:rPr>
          <w:sz w:val="25"/>
        </w:rPr>
      </w:pPr>
      <w:r>
        <w:rPr>
          <w:sz w:val="25"/>
        </w:rPr>
        <w:t xml:space="preserve">The Board thus took a decision that the disqualification of bidders on the basis of the lower and upper thresholds of 2 per cent and 100 per cent of the </w:t>
      </w:r>
      <w:r>
        <w:rPr>
          <w:w w:val="99"/>
          <w:sz w:val="25"/>
        </w:rPr>
        <w:t>2011</w:t>
      </w:r>
      <w:r>
        <w:rPr>
          <w:sz w:val="25"/>
        </w:rPr>
        <w:t xml:space="preserve"> </w:t>
      </w:r>
      <w:r>
        <w:rPr>
          <w:spacing w:val="22"/>
          <w:sz w:val="25"/>
        </w:rPr>
        <w:t xml:space="preserve"> </w:t>
      </w:r>
      <w:r>
        <w:rPr>
          <w:w w:val="99"/>
          <w:sz w:val="25"/>
        </w:rPr>
        <w:t>households</w:t>
      </w:r>
      <w:r>
        <w:rPr>
          <w:sz w:val="25"/>
        </w:rPr>
        <w:t xml:space="preserve"> </w:t>
      </w:r>
      <w:r>
        <w:rPr>
          <w:spacing w:val="24"/>
          <w:sz w:val="25"/>
        </w:rPr>
        <w:t xml:space="preserve"> </w:t>
      </w:r>
      <w:r>
        <w:rPr>
          <w:spacing w:val="-1"/>
          <w:w w:val="99"/>
          <w:sz w:val="25"/>
        </w:rPr>
        <w:t>whic</w:t>
      </w:r>
      <w:r>
        <w:rPr>
          <w:w w:val="99"/>
          <w:sz w:val="25"/>
        </w:rPr>
        <w:t>h</w:t>
      </w:r>
      <w:r>
        <w:rPr>
          <w:sz w:val="25"/>
        </w:rPr>
        <w:t xml:space="preserve"> </w:t>
      </w:r>
      <w:r>
        <w:rPr>
          <w:spacing w:val="22"/>
          <w:sz w:val="25"/>
        </w:rPr>
        <w:t xml:space="preserve"> </w:t>
      </w:r>
      <w:r>
        <w:rPr>
          <w:spacing w:val="-1"/>
          <w:w w:val="99"/>
          <w:sz w:val="25"/>
        </w:rPr>
        <w:t>i</w:t>
      </w:r>
      <w:r>
        <w:rPr>
          <w:w w:val="99"/>
          <w:sz w:val="25"/>
        </w:rPr>
        <w:t>t</w:t>
      </w:r>
      <w:r>
        <w:rPr>
          <w:sz w:val="25"/>
        </w:rPr>
        <w:t xml:space="preserve"> </w:t>
      </w:r>
      <w:r>
        <w:rPr>
          <w:spacing w:val="21"/>
          <w:sz w:val="25"/>
        </w:rPr>
        <w:t xml:space="preserve"> </w:t>
      </w:r>
      <w:r>
        <w:rPr>
          <w:spacing w:val="-1"/>
          <w:w w:val="99"/>
          <w:sz w:val="25"/>
        </w:rPr>
        <w:t>h</w:t>
      </w:r>
      <w:r>
        <w:rPr>
          <w:w w:val="99"/>
          <w:sz w:val="25"/>
        </w:rPr>
        <w:t>ad</w:t>
      </w:r>
      <w:r>
        <w:rPr>
          <w:sz w:val="25"/>
        </w:rPr>
        <w:t xml:space="preserve"> </w:t>
      </w:r>
      <w:r>
        <w:rPr>
          <w:spacing w:val="22"/>
          <w:sz w:val="25"/>
        </w:rPr>
        <w:t xml:space="preserve"> </w:t>
      </w:r>
      <w:r>
        <w:rPr>
          <w:spacing w:val="-1"/>
          <w:w w:val="99"/>
          <w:sz w:val="25"/>
        </w:rPr>
        <w:t>d</w:t>
      </w:r>
      <w:r>
        <w:rPr>
          <w:w w:val="99"/>
          <w:sz w:val="25"/>
        </w:rPr>
        <w:t>ecided</w:t>
      </w:r>
      <w:r>
        <w:rPr>
          <w:sz w:val="25"/>
        </w:rPr>
        <w:t xml:space="preserve"> </w:t>
      </w:r>
      <w:r>
        <w:rPr>
          <w:spacing w:val="22"/>
          <w:sz w:val="25"/>
        </w:rPr>
        <w:t xml:space="preserve"> </w:t>
      </w:r>
      <w:r>
        <w:rPr>
          <w:spacing w:val="-1"/>
          <w:w w:val="99"/>
          <w:sz w:val="25"/>
        </w:rPr>
        <w:t>e</w:t>
      </w:r>
      <w:r>
        <w:rPr>
          <w:w w:val="99"/>
          <w:sz w:val="25"/>
        </w:rPr>
        <w:t>ar</w:t>
      </w:r>
      <w:r>
        <w:rPr>
          <w:spacing w:val="-1"/>
          <w:w w:val="99"/>
          <w:sz w:val="25"/>
        </w:rPr>
        <w:t>lie</w:t>
      </w:r>
      <w:r>
        <w:rPr>
          <w:w w:val="99"/>
          <w:sz w:val="25"/>
        </w:rPr>
        <w:t>r</w:t>
      </w:r>
      <w:r>
        <w:rPr>
          <w:sz w:val="25"/>
        </w:rPr>
        <w:t xml:space="preserve"> </w:t>
      </w:r>
      <w:r>
        <w:rPr>
          <w:spacing w:val="22"/>
          <w:sz w:val="25"/>
        </w:rPr>
        <w:t xml:space="preserve"> </w:t>
      </w:r>
      <w:r>
        <w:rPr>
          <w:w w:val="33"/>
          <w:sz w:val="25"/>
        </w:rPr>
        <w:t>―</w:t>
      </w:r>
      <w:r>
        <w:rPr>
          <w:spacing w:val="-1"/>
          <w:w w:val="99"/>
          <w:sz w:val="25"/>
        </w:rPr>
        <w:t>n</w:t>
      </w:r>
      <w:r>
        <w:rPr>
          <w:w w:val="99"/>
          <w:sz w:val="25"/>
        </w:rPr>
        <w:t>e</w:t>
      </w:r>
      <w:r>
        <w:rPr>
          <w:spacing w:val="-1"/>
          <w:w w:val="99"/>
          <w:sz w:val="25"/>
        </w:rPr>
        <w:t>e</w:t>
      </w:r>
      <w:r>
        <w:rPr>
          <w:w w:val="99"/>
          <w:sz w:val="25"/>
        </w:rPr>
        <w:t>d</w:t>
      </w:r>
      <w:r>
        <w:rPr>
          <w:sz w:val="25"/>
        </w:rPr>
        <w:t xml:space="preserve"> </w:t>
      </w:r>
      <w:r>
        <w:rPr>
          <w:spacing w:val="22"/>
          <w:sz w:val="25"/>
        </w:rPr>
        <w:t xml:space="preserve"> </w:t>
      </w:r>
      <w:r>
        <w:rPr>
          <w:spacing w:val="-1"/>
          <w:w w:val="99"/>
          <w:sz w:val="25"/>
        </w:rPr>
        <w:t>n</w:t>
      </w:r>
      <w:r>
        <w:rPr>
          <w:w w:val="99"/>
          <w:sz w:val="25"/>
        </w:rPr>
        <w:t>ot</w:t>
      </w:r>
      <w:r>
        <w:rPr>
          <w:sz w:val="25"/>
        </w:rPr>
        <w:t xml:space="preserve"> </w:t>
      </w:r>
      <w:r>
        <w:rPr>
          <w:spacing w:val="19"/>
          <w:sz w:val="25"/>
        </w:rPr>
        <w:t xml:space="preserve"> </w:t>
      </w:r>
      <w:r>
        <w:rPr>
          <w:spacing w:val="-1"/>
          <w:w w:val="99"/>
          <w:sz w:val="25"/>
        </w:rPr>
        <w:t>b</w:t>
      </w:r>
      <w:r>
        <w:rPr>
          <w:w w:val="99"/>
          <w:sz w:val="25"/>
        </w:rPr>
        <w:t>e</w:t>
      </w:r>
      <w:r>
        <w:rPr>
          <w:sz w:val="25"/>
        </w:rPr>
        <w:t xml:space="preserve"> </w:t>
      </w:r>
      <w:r>
        <w:rPr>
          <w:spacing w:val="22"/>
          <w:sz w:val="25"/>
        </w:rPr>
        <w:t xml:space="preserve"> </w:t>
      </w:r>
      <w:r>
        <w:rPr>
          <w:w w:val="99"/>
          <w:sz w:val="25"/>
        </w:rPr>
        <w:t>a</w:t>
      </w:r>
      <w:r>
        <w:rPr>
          <w:sz w:val="25"/>
        </w:rPr>
        <w:t xml:space="preserve"> </w:t>
      </w:r>
      <w:r>
        <w:rPr>
          <w:spacing w:val="22"/>
          <w:sz w:val="25"/>
        </w:rPr>
        <w:t xml:space="preserve"> </w:t>
      </w:r>
      <w:r>
        <w:rPr>
          <w:w w:val="99"/>
          <w:sz w:val="25"/>
        </w:rPr>
        <w:t>m</w:t>
      </w:r>
      <w:r>
        <w:rPr>
          <w:spacing w:val="-1"/>
          <w:w w:val="99"/>
          <w:sz w:val="25"/>
        </w:rPr>
        <w:t>ec</w:t>
      </w:r>
      <w:r>
        <w:rPr>
          <w:w w:val="99"/>
          <w:sz w:val="25"/>
        </w:rPr>
        <w:t>h</w:t>
      </w:r>
      <w:r>
        <w:rPr>
          <w:spacing w:val="-1"/>
          <w:w w:val="99"/>
          <w:sz w:val="25"/>
        </w:rPr>
        <w:t>a</w:t>
      </w:r>
      <w:r>
        <w:rPr>
          <w:w w:val="99"/>
          <w:sz w:val="25"/>
        </w:rPr>
        <w:t>n</w:t>
      </w:r>
      <w:r>
        <w:rPr>
          <w:spacing w:val="-1"/>
          <w:w w:val="99"/>
          <w:sz w:val="25"/>
        </w:rPr>
        <w:t xml:space="preserve">ical </w:t>
      </w:r>
      <w:r>
        <w:rPr>
          <w:sz w:val="25"/>
        </w:rPr>
        <w:t>exercise‖.</w:t>
      </w:r>
      <w:r>
        <w:rPr>
          <w:spacing w:val="19"/>
          <w:sz w:val="25"/>
        </w:rPr>
        <w:t xml:space="preserve"> </w:t>
      </w:r>
      <w:r>
        <w:rPr>
          <w:sz w:val="25"/>
        </w:rPr>
        <w:t>Hence,</w:t>
      </w:r>
      <w:r>
        <w:rPr>
          <w:spacing w:val="20"/>
          <w:sz w:val="25"/>
        </w:rPr>
        <w:t xml:space="preserve"> </w:t>
      </w:r>
      <w:r>
        <w:rPr>
          <w:sz w:val="25"/>
        </w:rPr>
        <w:t>a</w:t>
      </w:r>
      <w:r>
        <w:rPr>
          <w:spacing w:val="22"/>
          <w:sz w:val="25"/>
        </w:rPr>
        <w:t xml:space="preserve"> </w:t>
      </w:r>
      <w:r>
        <w:rPr>
          <w:sz w:val="25"/>
        </w:rPr>
        <w:t>d</w:t>
      </w:r>
      <w:r>
        <w:rPr>
          <w:sz w:val="25"/>
        </w:rPr>
        <w:t>ecision</w:t>
      </w:r>
      <w:r>
        <w:rPr>
          <w:spacing w:val="20"/>
          <w:sz w:val="25"/>
        </w:rPr>
        <w:t xml:space="preserve"> </w:t>
      </w:r>
      <w:r>
        <w:rPr>
          <w:sz w:val="25"/>
        </w:rPr>
        <w:t>was</w:t>
      </w:r>
      <w:r>
        <w:rPr>
          <w:spacing w:val="20"/>
          <w:sz w:val="25"/>
        </w:rPr>
        <w:t xml:space="preserve"> </w:t>
      </w:r>
      <w:r>
        <w:rPr>
          <w:sz w:val="25"/>
        </w:rPr>
        <w:t>taken</w:t>
      </w:r>
      <w:r>
        <w:rPr>
          <w:spacing w:val="22"/>
          <w:sz w:val="25"/>
        </w:rPr>
        <w:t xml:space="preserve"> </w:t>
      </w:r>
      <w:r>
        <w:rPr>
          <w:sz w:val="25"/>
        </w:rPr>
        <w:t>to</w:t>
      </w:r>
      <w:r>
        <w:rPr>
          <w:spacing w:val="21"/>
          <w:sz w:val="25"/>
        </w:rPr>
        <w:t xml:space="preserve"> </w:t>
      </w:r>
      <w:r>
        <w:rPr>
          <w:sz w:val="25"/>
        </w:rPr>
        <w:t>offer</w:t>
      </w:r>
      <w:r>
        <w:rPr>
          <w:spacing w:val="20"/>
          <w:sz w:val="25"/>
        </w:rPr>
        <w:t xml:space="preserve"> </w:t>
      </w:r>
      <w:r>
        <w:rPr>
          <w:sz w:val="25"/>
        </w:rPr>
        <w:t>to</w:t>
      </w:r>
      <w:r>
        <w:rPr>
          <w:spacing w:val="20"/>
          <w:sz w:val="25"/>
        </w:rPr>
        <w:t xml:space="preserve"> </w:t>
      </w:r>
      <w:r>
        <w:rPr>
          <w:sz w:val="25"/>
        </w:rPr>
        <w:t>the</w:t>
      </w:r>
      <w:r>
        <w:rPr>
          <w:spacing w:val="20"/>
          <w:sz w:val="25"/>
        </w:rPr>
        <w:t xml:space="preserve"> </w:t>
      </w:r>
      <w:r>
        <w:rPr>
          <w:sz w:val="25"/>
        </w:rPr>
        <w:t>three</w:t>
      </w:r>
      <w:r>
        <w:rPr>
          <w:spacing w:val="20"/>
          <w:sz w:val="25"/>
        </w:rPr>
        <w:t xml:space="preserve"> </w:t>
      </w:r>
      <w:r>
        <w:rPr>
          <w:sz w:val="25"/>
        </w:rPr>
        <w:t>affected</w:t>
      </w:r>
      <w:r>
        <w:rPr>
          <w:spacing w:val="20"/>
          <w:sz w:val="25"/>
        </w:rPr>
        <w:t xml:space="preserve"> </w:t>
      </w:r>
      <w:r>
        <w:rPr>
          <w:sz w:val="25"/>
        </w:rPr>
        <w:t>entities</w:t>
      </w:r>
      <w:r>
        <w:rPr>
          <w:spacing w:val="19"/>
          <w:sz w:val="25"/>
        </w:rPr>
        <w:t xml:space="preserve"> </w:t>
      </w:r>
      <w:r>
        <w:rPr>
          <w:sz w:val="25"/>
        </w:rPr>
        <w:t>for</w:t>
      </w:r>
    </w:p>
    <w:p w:rsidR="008215AB" w:rsidRDefault="008215AB">
      <w:pPr>
        <w:spacing w:line="480" w:lineRule="auto"/>
        <w:jc w:val="both"/>
        <w:rPr>
          <w:sz w:val="25"/>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right="114"/>
        <w:jc w:val="both"/>
      </w:pPr>
      <w:r>
        <w:t xml:space="preserve">GAs 61, 62 and 72, an opportunity to present their case on why their bids should not be rejected for being unreasonably high. The Board appears to have done so on the basis that the rejection of their bids, without an opportunity to present their </w:t>
      </w:r>
      <w:r>
        <w:rPr>
          <w:w w:val="99"/>
        </w:rPr>
        <w:t>case</w:t>
      </w:r>
      <w:r>
        <w:t xml:space="preserve"> </w:t>
      </w:r>
      <w:r>
        <w:rPr>
          <w:spacing w:val="-17"/>
        </w:rPr>
        <w:t xml:space="preserve"> </w:t>
      </w:r>
      <w:r>
        <w:rPr>
          <w:spacing w:val="-1"/>
          <w:w w:val="99"/>
        </w:rPr>
        <w:t>wou</w:t>
      </w:r>
      <w:r>
        <w:rPr>
          <w:spacing w:val="-1"/>
          <w:w w:val="99"/>
        </w:rPr>
        <w:t>l</w:t>
      </w:r>
      <w:r>
        <w:rPr>
          <w:w w:val="99"/>
        </w:rPr>
        <w:t>d</w:t>
      </w:r>
      <w:r>
        <w:t xml:space="preserve"> </w:t>
      </w:r>
      <w:r>
        <w:rPr>
          <w:spacing w:val="-17"/>
        </w:rPr>
        <w:t xml:space="preserve"> </w:t>
      </w:r>
      <w:r>
        <w:rPr>
          <w:spacing w:val="-1"/>
          <w:w w:val="99"/>
        </w:rPr>
        <w:t>n</w:t>
      </w:r>
      <w:r>
        <w:rPr>
          <w:w w:val="99"/>
        </w:rPr>
        <w:t>ot</w:t>
      </w:r>
      <w:r>
        <w:t xml:space="preserve"> </w:t>
      </w:r>
      <w:r>
        <w:rPr>
          <w:spacing w:val="-17"/>
        </w:rPr>
        <w:t xml:space="preserve"> </w:t>
      </w:r>
      <w:r>
        <w:rPr>
          <w:spacing w:val="-1"/>
          <w:w w:val="99"/>
        </w:rPr>
        <w:t>b</w:t>
      </w:r>
      <w:r>
        <w:rPr>
          <w:w w:val="99"/>
        </w:rPr>
        <w:t>e</w:t>
      </w:r>
      <w:r>
        <w:t xml:space="preserve"> </w:t>
      </w:r>
      <w:r>
        <w:rPr>
          <w:spacing w:val="-17"/>
        </w:rPr>
        <w:t xml:space="preserve"> </w:t>
      </w:r>
      <w:r>
        <w:rPr>
          <w:w w:val="33"/>
        </w:rPr>
        <w:t>―</w:t>
      </w:r>
      <w:r>
        <w:rPr>
          <w:spacing w:val="-3"/>
          <w:w w:val="99"/>
        </w:rPr>
        <w:t>l</w:t>
      </w:r>
      <w:r>
        <w:rPr>
          <w:spacing w:val="-1"/>
          <w:w w:val="99"/>
        </w:rPr>
        <w:t>e</w:t>
      </w:r>
      <w:r>
        <w:rPr>
          <w:w w:val="99"/>
        </w:rPr>
        <w:t>g</w:t>
      </w:r>
      <w:r>
        <w:rPr>
          <w:spacing w:val="-1"/>
          <w:w w:val="99"/>
        </w:rPr>
        <w:t>all</w:t>
      </w:r>
      <w:r>
        <w:rPr>
          <w:w w:val="99"/>
        </w:rPr>
        <w:t>y</w:t>
      </w:r>
      <w:r>
        <w:t xml:space="preserve"> </w:t>
      </w:r>
      <w:r>
        <w:rPr>
          <w:spacing w:val="-20"/>
        </w:rPr>
        <w:t xml:space="preserve"> </w:t>
      </w:r>
      <w:r>
        <w:rPr>
          <w:w w:val="99"/>
        </w:rPr>
        <w:t>co</w:t>
      </w:r>
      <w:r>
        <w:rPr>
          <w:spacing w:val="1"/>
          <w:w w:val="99"/>
        </w:rPr>
        <w:t>r</w:t>
      </w:r>
      <w:r>
        <w:rPr>
          <w:w w:val="99"/>
        </w:rPr>
        <w:t>r</w:t>
      </w:r>
      <w:r>
        <w:rPr>
          <w:spacing w:val="-1"/>
          <w:w w:val="95"/>
        </w:rPr>
        <w:t>ect</w:t>
      </w:r>
      <w:r>
        <w:rPr>
          <w:spacing w:val="1"/>
          <w:w w:val="95"/>
        </w:rPr>
        <w:t>‖</w:t>
      </w:r>
      <w:r>
        <w:rPr>
          <w:w w:val="99"/>
        </w:rPr>
        <w:t>.</w:t>
      </w:r>
      <w:r>
        <w:t xml:space="preserve"> </w:t>
      </w:r>
      <w:r>
        <w:rPr>
          <w:spacing w:val="-17"/>
        </w:rPr>
        <w:t xml:space="preserve"> </w:t>
      </w:r>
      <w:r>
        <w:rPr>
          <w:w w:val="99"/>
        </w:rPr>
        <w:t>T</w:t>
      </w:r>
      <w:r>
        <w:rPr>
          <w:spacing w:val="-1"/>
          <w:w w:val="99"/>
        </w:rPr>
        <w:t>hi</w:t>
      </w:r>
      <w:r>
        <w:rPr>
          <w:w w:val="99"/>
        </w:rPr>
        <w:t>s</w:t>
      </w:r>
      <w:r>
        <w:t xml:space="preserve"> </w:t>
      </w:r>
      <w:r>
        <w:rPr>
          <w:spacing w:val="-17"/>
        </w:rPr>
        <w:t xml:space="preserve"> </w:t>
      </w:r>
      <w:r>
        <w:rPr>
          <w:spacing w:val="-1"/>
          <w:w w:val="99"/>
        </w:rPr>
        <w:t>i</w:t>
      </w:r>
      <w:r>
        <w:rPr>
          <w:w w:val="99"/>
        </w:rPr>
        <w:t>s</w:t>
      </w:r>
      <w:r>
        <w:t xml:space="preserve"> </w:t>
      </w:r>
      <w:r>
        <w:rPr>
          <w:spacing w:val="-17"/>
        </w:rPr>
        <w:t xml:space="preserve"> </w:t>
      </w:r>
      <w:r>
        <w:rPr>
          <w:w w:val="99"/>
        </w:rPr>
        <w:t>r</w:t>
      </w:r>
      <w:r>
        <w:rPr>
          <w:spacing w:val="-1"/>
          <w:w w:val="99"/>
        </w:rPr>
        <w:t>efl</w:t>
      </w:r>
      <w:r>
        <w:rPr>
          <w:w w:val="99"/>
        </w:rPr>
        <w:t>ected</w:t>
      </w:r>
      <w:r>
        <w:t xml:space="preserve"> </w:t>
      </w:r>
      <w:r>
        <w:rPr>
          <w:spacing w:val="-9"/>
        </w:rPr>
        <w:t xml:space="preserve"> </w:t>
      </w:r>
      <w:r>
        <w:rPr>
          <w:w w:val="99"/>
        </w:rPr>
        <w:t>in</w:t>
      </w:r>
      <w:r>
        <w:t xml:space="preserve"> </w:t>
      </w:r>
      <w:r>
        <w:rPr>
          <w:spacing w:val="-17"/>
        </w:rPr>
        <w:t xml:space="preserve"> </w:t>
      </w:r>
      <w:r>
        <w:rPr>
          <w:w w:val="99"/>
        </w:rPr>
        <w:t>the</w:t>
      </w:r>
      <w:r>
        <w:t xml:space="preserve"> </w:t>
      </w:r>
      <w:r>
        <w:rPr>
          <w:spacing w:val="-17"/>
        </w:rPr>
        <w:t xml:space="preserve"> </w:t>
      </w:r>
      <w:r>
        <w:rPr>
          <w:w w:val="99"/>
        </w:rPr>
        <w:t>fo</w:t>
      </w:r>
      <w:r>
        <w:rPr>
          <w:spacing w:val="-2"/>
          <w:w w:val="99"/>
        </w:rPr>
        <w:t>l</w:t>
      </w:r>
      <w:r>
        <w:rPr>
          <w:w w:val="99"/>
        </w:rPr>
        <w:t>lowing</w:t>
      </w:r>
      <w:r>
        <w:t xml:space="preserve"> </w:t>
      </w:r>
      <w:r>
        <w:rPr>
          <w:spacing w:val="-17"/>
        </w:rPr>
        <w:t xml:space="preserve"> </w:t>
      </w:r>
      <w:r>
        <w:rPr>
          <w:w w:val="99"/>
        </w:rPr>
        <w:t xml:space="preserve">decision </w:t>
      </w:r>
      <w:r>
        <w:t>which was taken by the Board on 10 August</w:t>
      </w:r>
      <w:r>
        <w:rPr>
          <w:spacing w:val="-10"/>
        </w:rPr>
        <w:t xml:space="preserve"> </w:t>
      </w:r>
      <w:r>
        <w:t>2018:</w:t>
      </w:r>
    </w:p>
    <w:p w:rsidR="008215AB" w:rsidRDefault="006513FA">
      <w:pPr>
        <w:spacing w:before="239" w:line="276" w:lineRule="auto"/>
        <w:ind w:left="1940" w:right="1942"/>
        <w:jc w:val="both"/>
        <w:rPr>
          <w:sz w:val="21"/>
        </w:rPr>
      </w:pPr>
      <w:r>
        <w:rPr>
          <w:spacing w:val="-1"/>
          <w:w w:val="33"/>
          <w:sz w:val="21"/>
        </w:rPr>
        <w:t>―</w:t>
      </w:r>
      <w:r>
        <w:rPr>
          <w:spacing w:val="-1"/>
          <w:sz w:val="21"/>
        </w:rPr>
        <w:t>(a</w:t>
      </w:r>
      <w:r>
        <w:rPr>
          <w:sz w:val="21"/>
        </w:rPr>
        <w:t>)</w:t>
      </w:r>
      <w:r>
        <w:rPr>
          <w:sz w:val="21"/>
        </w:rPr>
        <w:t xml:space="preserve">      </w:t>
      </w:r>
      <w:r>
        <w:rPr>
          <w:spacing w:val="-16"/>
          <w:sz w:val="21"/>
        </w:rPr>
        <w:t xml:space="preserve"> </w:t>
      </w:r>
      <w:r>
        <w:rPr>
          <w:sz w:val="21"/>
        </w:rPr>
        <w:t>To</w:t>
      </w:r>
      <w:r>
        <w:rPr>
          <w:spacing w:val="1"/>
          <w:sz w:val="21"/>
        </w:rPr>
        <w:t xml:space="preserve"> </w:t>
      </w:r>
      <w:r>
        <w:rPr>
          <w:sz w:val="21"/>
        </w:rPr>
        <w:t>c</w:t>
      </w:r>
      <w:r>
        <w:rPr>
          <w:spacing w:val="-3"/>
          <w:sz w:val="21"/>
        </w:rPr>
        <w:t>a</w:t>
      </w:r>
      <w:r>
        <w:rPr>
          <w:sz w:val="21"/>
        </w:rPr>
        <w:t>ll</w:t>
      </w:r>
      <w:r>
        <w:rPr>
          <w:spacing w:val="2"/>
          <w:sz w:val="21"/>
        </w:rPr>
        <w:t xml:space="preserve"> </w:t>
      </w:r>
      <w:r>
        <w:rPr>
          <w:spacing w:val="-2"/>
          <w:sz w:val="21"/>
        </w:rPr>
        <w:t>t</w:t>
      </w:r>
      <w:r>
        <w:rPr>
          <w:spacing w:val="-3"/>
          <w:sz w:val="21"/>
        </w:rPr>
        <w:t>h</w:t>
      </w:r>
      <w:r>
        <w:rPr>
          <w:sz w:val="21"/>
        </w:rPr>
        <w:t>e</w:t>
      </w:r>
      <w:r>
        <w:rPr>
          <w:spacing w:val="1"/>
          <w:sz w:val="21"/>
        </w:rPr>
        <w:t xml:space="preserve"> </w:t>
      </w:r>
      <w:r>
        <w:rPr>
          <w:sz w:val="21"/>
        </w:rPr>
        <w:t>b</w:t>
      </w:r>
      <w:r>
        <w:rPr>
          <w:spacing w:val="-2"/>
          <w:sz w:val="21"/>
        </w:rPr>
        <w:t>i</w:t>
      </w:r>
      <w:r>
        <w:rPr>
          <w:sz w:val="21"/>
        </w:rPr>
        <w:t>d</w:t>
      </w:r>
      <w:r>
        <w:rPr>
          <w:spacing w:val="-3"/>
          <w:sz w:val="21"/>
        </w:rPr>
        <w:t>d</w:t>
      </w:r>
      <w:r>
        <w:rPr>
          <w:sz w:val="21"/>
        </w:rPr>
        <w:t>ing</w:t>
      </w:r>
      <w:r>
        <w:rPr>
          <w:spacing w:val="1"/>
          <w:sz w:val="21"/>
        </w:rPr>
        <w:t xml:space="preserve"> </w:t>
      </w:r>
      <w:r>
        <w:rPr>
          <w:spacing w:val="-3"/>
          <w:sz w:val="21"/>
        </w:rPr>
        <w:t>e</w:t>
      </w:r>
      <w:r>
        <w:rPr>
          <w:sz w:val="21"/>
        </w:rPr>
        <w:t>n</w:t>
      </w:r>
      <w:r>
        <w:rPr>
          <w:spacing w:val="-1"/>
          <w:sz w:val="21"/>
        </w:rPr>
        <w:t>t</w:t>
      </w:r>
      <w:r>
        <w:rPr>
          <w:sz w:val="21"/>
        </w:rPr>
        <w:t>i</w:t>
      </w:r>
      <w:r>
        <w:rPr>
          <w:spacing w:val="-2"/>
          <w:sz w:val="21"/>
        </w:rPr>
        <w:t>t</w:t>
      </w:r>
      <w:r>
        <w:rPr>
          <w:sz w:val="21"/>
        </w:rPr>
        <w:t>i</w:t>
      </w:r>
      <w:r>
        <w:rPr>
          <w:spacing w:val="-3"/>
          <w:sz w:val="21"/>
        </w:rPr>
        <w:t>e</w:t>
      </w:r>
      <w:r>
        <w:rPr>
          <w:sz w:val="21"/>
        </w:rPr>
        <w:t>s</w:t>
      </w:r>
      <w:r>
        <w:rPr>
          <w:spacing w:val="-1"/>
          <w:sz w:val="21"/>
        </w:rPr>
        <w:t xml:space="preserve"> </w:t>
      </w:r>
      <w:r>
        <w:rPr>
          <w:spacing w:val="1"/>
          <w:sz w:val="21"/>
        </w:rPr>
        <w:t>f</w:t>
      </w:r>
      <w:r>
        <w:rPr>
          <w:sz w:val="21"/>
        </w:rPr>
        <w:t>or</w:t>
      </w:r>
      <w:r>
        <w:rPr>
          <w:sz w:val="21"/>
        </w:rPr>
        <w:t xml:space="preserve"> </w:t>
      </w:r>
      <w:r>
        <w:rPr>
          <w:spacing w:val="-2"/>
          <w:sz w:val="21"/>
        </w:rPr>
        <w:t>G</w:t>
      </w:r>
      <w:r>
        <w:rPr>
          <w:spacing w:val="5"/>
          <w:sz w:val="21"/>
        </w:rPr>
        <w:t>A</w:t>
      </w:r>
      <w:r>
        <w:rPr>
          <w:sz w:val="21"/>
        </w:rPr>
        <w:t>-</w:t>
      </w:r>
      <w:r>
        <w:rPr>
          <w:sz w:val="21"/>
        </w:rPr>
        <w:t xml:space="preserve"> </w:t>
      </w:r>
      <w:r>
        <w:rPr>
          <w:sz w:val="21"/>
        </w:rPr>
        <w:t>61,</w:t>
      </w:r>
      <w:r>
        <w:rPr>
          <w:sz w:val="21"/>
        </w:rPr>
        <w:t xml:space="preserve"> </w:t>
      </w:r>
      <w:r>
        <w:rPr>
          <w:spacing w:val="-4"/>
          <w:sz w:val="21"/>
        </w:rPr>
        <w:t>G</w:t>
      </w:r>
      <w:r>
        <w:rPr>
          <w:spacing w:val="1"/>
          <w:sz w:val="21"/>
        </w:rPr>
        <w:t>A</w:t>
      </w:r>
      <w:r>
        <w:rPr>
          <w:spacing w:val="-1"/>
          <w:sz w:val="21"/>
        </w:rPr>
        <w:t>-</w:t>
      </w:r>
      <w:r>
        <w:rPr>
          <w:sz w:val="21"/>
        </w:rPr>
        <w:t>62</w:t>
      </w:r>
      <w:r>
        <w:rPr>
          <w:spacing w:val="1"/>
          <w:sz w:val="21"/>
        </w:rPr>
        <w:t xml:space="preserve"> </w:t>
      </w:r>
      <w:r>
        <w:rPr>
          <w:spacing w:val="-3"/>
          <w:sz w:val="21"/>
        </w:rPr>
        <w:t>a</w:t>
      </w:r>
      <w:r>
        <w:rPr>
          <w:sz w:val="21"/>
        </w:rPr>
        <w:t>nd</w:t>
      </w:r>
      <w:r>
        <w:rPr>
          <w:spacing w:val="1"/>
          <w:sz w:val="21"/>
        </w:rPr>
        <w:t xml:space="preserve"> </w:t>
      </w:r>
      <w:r>
        <w:rPr>
          <w:spacing w:val="-4"/>
          <w:sz w:val="21"/>
        </w:rPr>
        <w:t>G</w:t>
      </w:r>
      <w:r>
        <w:rPr>
          <w:spacing w:val="1"/>
          <w:sz w:val="21"/>
        </w:rPr>
        <w:t>A</w:t>
      </w:r>
      <w:r>
        <w:rPr>
          <w:sz w:val="21"/>
        </w:rPr>
        <w:t xml:space="preserve">- </w:t>
      </w:r>
      <w:r>
        <w:rPr>
          <w:sz w:val="21"/>
        </w:rPr>
        <w:t>72 which quoted for PNG domestic connections higher than fixed vide note that 23.07.2018 for discussion on 14.08.2018 to present their case as to why the bids submitted by them for PNG domestic connections be not considered unreasonably high. The Board als</w:t>
      </w:r>
      <w:r>
        <w:rPr>
          <w:sz w:val="21"/>
        </w:rPr>
        <w:t>o decided that under these  circumstances, it would not be legally correct to reject their bids without providing them a chance to present their</w:t>
      </w:r>
      <w:r>
        <w:rPr>
          <w:spacing w:val="-32"/>
          <w:sz w:val="21"/>
        </w:rPr>
        <w:t xml:space="preserve"> </w:t>
      </w:r>
      <w:r>
        <w:rPr>
          <w:sz w:val="21"/>
        </w:rPr>
        <w:t>case.‖</w:t>
      </w:r>
    </w:p>
    <w:p w:rsidR="008215AB" w:rsidRDefault="008215AB">
      <w:pPr>
        <w:pStyle w:val="BodyText"/>
        <w:rPr>
          <w:sz w:val="24"/>
        </w:rPr>
      </w:pPr>
    </w:p>
    <w:p w:rsidR="008215AB" w:rsidRDefault="008215AB">
      <w:pPr>
        <w:pStyle w:val="BodyText"/>
        <w:spacing w:before="1"/>
        <w:rPr>
          <w:sz w:val="21"/>
        </w:rPr>
      </w:pPr>
    </w:p>
    <w:p w:rsidR="008215AB" w:rsidRDefault="006513FA">
      <w:pPr>
        <w:pStyle w:val="ListParagraph"/>
        <w:numPr>
          <w:ilvl w:val="0"/>
          <w:numId w:val="8"/>
        </w:numPr>
        <w:tabs>
          <w:tab w:val="left" w:pos="1221"/>
        </w:tabs>
        <w:spacing w:line="480" w:lineRule="auto"/>
        <w:ind w:right="113" w:firstLine="0"/>
        <w:jc w:val="both"/>
        <w:rPr>
          <w:sz w:val="25"/>
        </w:rPr>
      </w:pPr>
      <w:r>
        <w:rPr>
          <w:sz w:val="25"/>
        </w:rPr>
        <w:t>On 10 August 2018, a press release was issued by the Board. In pursuance of the decision which was tak</w:t>
      </w:r>
      <w:r>
        <w:rPr>
          <w:sz w:val="25"/>
        </w:rPr>
        <w:t xml:space="preserve">en by the Board, on 14 August 2018 presentations were made before it by the three entities for GAs 61, 62 and 72 which had quoted more than 100 per cent of the number of 2011 households. Apart from the above three GAs, the financial bid for Puducherry (GA </w:t>
      </w:r>
      <w:r>
        <w:rPr>
          <w:sz w:val="25"/>
        </w:rPr>
        <w:t>51) was opened on 18 August 2018. The bidder with the highest composite score for GA 51 had also quoted more than 100 per cent of the total 2011 households and was called on 23 August 2018 for a presentation before the</w:t>
      </w:r>
      <w:r>
        <w:rPr>
          <w:spacing w:val="3"/>
          <w:sz w:val="25"/>
        </w:rPr>
        <w:t xml:space="preserve"> </w:t>
      </w:r>
      <w:r>
        <w:rPr>
          <w:sz w:val="25"/>
        </w:rPr>
        <w:t>Board.</w:t>
      </w:r>
    </w:p>
    <w:p w:rsidR="008215AB" w:rsidRDefault="008215AB">
      <w:pPr>
        <w:pStyle w:val="BodyText"/>
      </w:pPr>
    </w:p>
    <w:p w:rsidR="008215AB" w:rsidRDefault="006513FA">
      <w:pPr>
        <w:pStyle w:val="ListParagraph"/>
        <w:numPr>
          <w:ilvl w:val="0"/>
          <w:numId w:val="8"/>
        </w:numPr>
        <w:tabs>
          <w:tab w:val="left" w:pos="1221"/>
        </w:tabs>
        <w:spacing w:line="480" w:lineRule="auto"/>
        <w:ind w:right="115" w:firstLine="0"/>
        <w:jc w:val="both"/>
        <w:rPr>
          <w:sz w:val="25"/>
        </w:rPr>
      </w:pPr>
      <w:r>
        <w:rPr>
          <w:sz w:val="25"/>
        </w:rPr>
        <w:t>On 28 August 2018, an agenda note was prepared with respect to the Board‘s decision on four GAs: 51, 61, 62 and 72. The agenda note contained a summation of the submissions made by each of the four bidders who had been called upon to explain why their bids</w:t>
      </w:r>
      <w:r>
        <w:rPr>
          <w:sz w:val="25"/>
        </w:rPr>
        <w:t xml:space="preserve"> in excess of 100 per cent of the total number of households as per 2011 Census data should not be considered unreasonably high.</w:t>
      </w:r>
      <w:r>
        <w:rPr>
          <w:spacing w:val="29"/>
          <w:sz w:val="25"/>
        </w:rPr>
        <w:t xml:space="preserve"> </w:t>
      </w:r>
      <w:r>
        <w:rPr>
          <w:sz w:val="25"/>
        </w:rPr>
        <w:t>The</w:t>
      </w:r>
      <w:r>
        <w:rPr>
          <w:spacing w:val="29"/>
          <w:sz w:val="25"/>
        </w:rPr>
        <w:t xml:space="preserve"> </w:t>
      </w:r>
      <w:r>
        <w:rPr>
          <w:sz w:val="25"/>
        </w:rPr>
        <w:t>agenda</w:t>
      </w:r>
      <w:r>
        <w:rPr>
          <w:spacing w:val="28"/>
          <w:sz w:val="25"/>
        </w:rPr>
        <w:t xml:space="preserve"> </w:t>
      </w:r>
      <w:r>
        <w:rPr>
          <w:sz w:val="25"/>
        </w:rPr>
        <w:t>note</w:t>
      </w:r>
      <w:r>
        <w:rPr>
          <w:spacing w:val="30"/>
          <w:sz w:val="25"/>
        </w:rPr>
        <w:t xml:space="preserve"> </w:t>
      </w:r>
      <w:r>
        <w:rPr>
          <w:sz w:val="25"/>
        </w:rPr>
        <w:t>contained</w:t>
      </w:r>
      <w:r>
        <w:rPr>
          <w:spacing w:val="29"/>
          <w:sz w:val="25"/>
        </w:rPr>
        <w:t xml:space="preserve"> </w:t>
      </w:r>
      <w:r>
        <w:rPr>
          <w:sz w:val="25"/>
        </w:rPr>
        <w:t>a</w:t>
      </w:r>
      <w:r>
        <w:rPr>
          <w:spacing w:val="30"/>
          <w:sz w:val="25"/>
        </w:rPr>
        <w:t xml:space="preserve"> </w:t>
      </w:r>
      <w:r>
        <w:rPr>
          <w:sz w:val="25"/>
        </w:rPr>
        <w:t>tabulation</w:t>
      </w:r>
      <w:r>
        <w:rPr>
          <w:spacing w:val="29"/>
          <w:sz w:val="25"/>
        </w:rPr>
        <w:t xml:space="preserve"> </w:t>
      </w:r>
      <w:r>
        <w:rPr>
          <w:sz w:val="25"/>
        </w:rPr>
        <w:t>of</w:t>
      </w:r>
      <w:r>
        <w:rPr>
          <w:spacing w:val="29"/>
          <w:sz w:val="25"/>
        </w:rPr>
        <w:t xml:space="preserve"> </w:t>
      </w:r>
      <w:r>
        <w:rPr>
          <w:sz w:val="25"/>
        </w:rPr>
        <w:t>the</w:t>
      </w:r>
      <w:r>
        <w:rPr>
          <w:spacing w:val="31"/>
          <w:sz w:val="25"/>
        </w:rPr>
        <w:t xml:space="preserve"> </w:t>
      </w:r>
      <w:r>
        <w:rPr>
          <w:sz w:val="25"/>
        </w:rPr>
        <w:t>percentage</w:t>
      </w:r>
      <w:r>
        <w:rPr>
          <w:spacing w:val="29"/>
          <w:sz w:val="25"/>
        </w:rPr>
        <w:t xml:space="preserve"> </w:t>
      </w:r>
      <w:r>
        <w:rPr>
          <w:sz w:val="25"/>
        </w:rPr>
        <w:t>of</w:t>
      </w:r>
      <w:r>
        <w:rPr>
          <w:spacing w:val="29"/>
          <w:sz w:val="25"/>
        </w:rPr>
        <w:t xml:space="preserve"> </w:t>
      </w:r>
      <w:r>
        <w:rPr>
          <w:sz w:val="25"/>
        </w:rPr>
        <w:t>PNG</w:t>
      </w:r>
    </w:p>
    <w:p w:rsidR="008215AB" w:rsidRDefault="008215AB">
      <w:pPr>
        <w:spacing w:line="480" w:lineRule="auto"/>
        <w:jc w:val="both"/>
        <w:rPr>
          <w:sz w:val="25"/>
        </w:rPr>
        <w:sectPr w:rsidR="008215AB">
          <w:pgSz w:w="11910" w:h="16840"/>
          <w:pgMar w:top="1340" w:right="1320" w:bottom="1220" w:left="940" w:header="0" w:footer="1034" w:gutter="0"/>
          <w:cols w:space="720"/>
        </w:sectPr>
      </w:pPr>
    </w:p>
    <w:p w:rsidR="008215AB" w:rsidRDefault="006513FA">
      <w:pPr>
        <w:pStyle w:val="BodyText"/>
        <w:spacing w:before="78" w:line="480" w:lineRule="auto"/>
        <w:ind w:left="500"/>
      </w:pPr>
      <w:r>
        <w:t>penetration in the projected households in 20</w:t>
      </w:r>
      <w:r>
        <w:t>26 with respect to the number of households as per the 2011 Census. The comparative table is extracted below:</w:t>
      </w:r>
    </w:p>
    <w:p w:rsidR="008215AB" w:rsidRDefault="008215AB">
      <w:pPr>
        <w:spacing w:line="480" w:lineRule="auto"/>
        <w:sectPr w:rsidR="008215AB">
          <w:pgSz w:w="11910" w:h="16840"/>
          <w:pgMar w:top="1340" w:right="1320" w:bottom="1220" w:left="940" w:header="0" w:footer="1034" w:gutter="0"/>
          <w:cols w:space="720"/>
        </w:sectPr>
      </w:pPr>
    </w:p>
    <w:p w:rsidR="008215AB" w:rsidRDefault="008215AB">
      <w:pPr>
        <w:pStyle w:val="BodyText"/>
        <w:rPr>
          <w:sz w:val="2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6"/>
        <w:gridCol w:w="720"/>
        <w:gridCol w:w="2701"/>
        <w:gridCol w:w="1800"/>
        <w:gridCol w:w="2700"/>
        <w:gridCol w:w="1620"/>
        <w:gridCol w:w="1799"/>
        <w:gridCol w:w="1802"/>
      </w:tblGrid>
      <w:tr w:rsidR="008215AB">
        <w:trPr>
          <w:trHeight w:val="1893"/>
        </w:trPr>
        <w:tc>
          <w:tcPr>
            <w:tcW w:w="716" w:type="dxa"/>
          </w:tcPr>
          <w:p w:rsidR="008215AB" w:rsidRDefault="006513FA">
            <w:pPr>
              <w:pStyle w:val="TableParagraph"/>
              <w:spacing w:before="233" w:line="276" w:lineRule="auto"/>
              <w:ind w:left="155" w:right="128" w:firstLine="84"/>
              <w:rPr>
                <w:b/>
                <w:sz w:val="25"/>
              </w:rPr>
            </w:pPr>
            <w:r>
              <w:rPr>
                <w:b/>
                <w:sz w:val="25"/>
              </w:rPr>
              <w:t>Sl No.</w:t>
            </w:r>
          </w:p>
        </w:tc>
        <w:tc>
          <w:tcPr>
            <w:tcW w:w="720" w:type="dxa"/>
          </w:tcPr>
          <w:p w:rsidR="008215AB" w:rsidRDefault="006513FA">
            <w:pPr>
              <w:pStyle w:val="TableParagraph"/>
              <w:spacing w:before="233" w:line="276" w:lineRule="auto"/>
              <w:ind w:left="234" w:right="144" w:hanging="63"/>
              <w:rPr>
                <w:b/>
                <w:sz w:val="25"/>
              </w:rPr>
            </w:pPr>
            <w:r>
              <w:rPr>
                <w:b/>
                <w:sz w:val="25"/>
              </w:rPr>
              <w:t>GA ID</w:t>
            </w:r>
          </w:p>
        </w:tc>
        <w:tc>
          <w:tcPr>
            <w:tcW w:w="2701" w:type="dxa"/>
          </w:tcPr>
          <w:p w:rsidR="008215AB" w:rsidRDefault="006513FA">
            <w:pPr>
              <w:pStyle w:val="TableParagraph"/>
              <w:spacing w:before="233"/>
              <w:ind w:left="117" w:right="102"/>
              <w:jc w:val="center"/>
              <w:rPr>
                <w:b/>
                <w:sz w:val="25"/>
              </w:rPr>
            </w:pPr>
            <w:r>
              <w:rPr>
                <w:b/>
                <w:sz w:val="25"/>
              </w:rPr>
              <w:t>GA</w:t>
            </w:r>
          </w:p>
        </w:tc>
        <w:tc>
          <w:tcPr>
            <w:tcW w:w="1800" w:type="dxa"/>
          </w:tcPr>
          <w:p w:rsidR="008215AB" w:rsidRDefault="006513FA">
            <w:pPr>
              <w:pStyle w:val="TableParagraph"/>
              <w:spacing w:before="233"/>
              <w:ind w:left="175" w:right="170"/>
              <w:jc w:val="center"/>
              <w:rPr>
                <w:b/>
                <w:sz w:val="25"/>
              </w:rPr>
            </w:pPr>
            <w:r>
              <w:rPr>
                <w:b/>
                <w:sz w:val="25"/>
              </w:rPr>
              <w:t>PNG</w:t>
            </w:r>
          </w:p>
          <w:p w:rsidR="008215AB" w:rsidRDefault="006513FA">
            <w:pPr>
              <w:pStyle w:val="TableParagraph"/>
              <w:spacing w:before="44" w:line="276" w:lineRule="auto"/>
              <w:ind w:left="180" w:right="170"/>
              <w:jc w:val="center"/>
              <w:rPr>
                <w:b/>
                <w:sz w:val="25"/>
              </w:rPr>
            </w:pPr>
            <w:r>
              <w:rPr>
                <w:b/>
                <w:w w:val="95"/>
                <w:sz w:val="25"/>
              </w:rPr>
              <w:t xml:space="preserve">connections </w:t>
            </w:r>
            <w:r>
              <w:rPr>
                <w:b/>
                <w:sz w:val="25"/>
              </w:rPr>
              <w:t>quoted by the bidder</w:t>
            </w:r>
          </w:p>
        </w:tc>
        <w:tc>
          <w:tcPr>
            <w:tcW w:w="2700" w:type="dxa"/>
          </w:tcPr>
          <w:p w:rsidR="008215AB" w:rsidRDefault="006513FA">
            <w:pPr>
              <w:pStyle w:val="TableParagraph"/>
              <w:spacing w:before="233" w:line="276" w:lineRule="auto"/>
              <w:ind w:left="263" w:right="259" w:firstLine="4"/>
              <w:jc w:val="center"/>
              <w:rPr>
                <w:b/>
                <w:sz w:val="25"/>
              </w:rPr>
            </w:pPr>
            <w:r>
              <w:rPr>
                <w:b/>
                <w:sz w:val="25"/>
              </w:rPr>
              <w:t>HH as per 2011 Census i.e. Upper Limit of PNG Connections fixed</w:t>
            </w:r>
          </w:p>
          <w:p w:rsidR="008215AB" w:rsidRDefault="006513FA">
            <w:pPr>
              <w:pStyle w:val="TableParagraph"/>
              <w:ind w:left="695" w:right="690"/>
              <w:jc w:val="center"/>
              <w:rPr>
                <w:b/>
                <w:sz w:val="25"/>
              </w:rPr>
            </w:pPr>
            <w:r>
              <w:rPr>
                <w:b/>
                <w:sz w:val="25"/>
              </w:rPr>
              <w:t>by PNGRB</w:t>
            </w:r>
          </w:p>
        </w:tc>
        <w:tc>
          <w:tcPr>
            <w:tcW w:w="1620" w:type="dxa"/>
          </w:tcPr>
          <w:p w:rsidR="008215AB" w:rsidRDefault="006513FA">
            <w:pPr>
              <w:pStyle w:val="TableParagraph"/>
              <w:spacing w:before="233" w:line="276" w:lineRule="auto"/>
              <w:ind w:left="121" w:right="93" w:firstLine="117"/>
              <w:rPr>
                <w:b/>
                <w:sz w:val="25"/>
              </w:rPr>
            </w:pPr>
            <w:r>
              <w:rPr>
                <w:b/>
                <w:sz w:val="25"/>
              </w:rPr>
              <w:t>Projected HH in 2026*</w:t>
            </w:r>
          </w:p>
        </w:tc>
        <w:tc>
          <w:tcPr>
            <w:tcW w:w="1799" w:type="dxa"/>
          </w:tcPr>
          <w:p w:rsidR="008215AB" w:rsidRDefault="006513FA">
            <w:pPr>
              <w:pStyle w:val="TableParagraph"/>
              <w:spacing w:before="233"/>
              <w:ind w:left="213" w:right="210"/>
              <w:jc w:val="center"/>
              <w:rPr>
                <w:b/>
                <w:sz w:val="25"/>
              </w:rPr>
            </w:pPr>
            <w:r>
              <w:rPr>
                <w:b/>
                <w:sz w:val="25"/>
              </w:rPr>
              <w:t>PNG</w:t>
            </w:r>
          </w:p>
          <w:p w:rsidR="008215AB" w:rsidRDefault="006513FA">
            <w:pPr>
              <w:pStyle w:val="TableParagraph"/>
              <w:spacing w:before="44" w:line="276" w:lineRule="auto"/>
              <w:ind w:left="215" w:right="210"/>
              <w:jc w:val="center"/>
              <w:rPr>
                <w:b/>
                <w:sz w:val="25"/>
              </w:rPr>
            </w:pPr>
            <w:r>
              <w:rPr>
                <w:b/>
                <w:sz w:val="25"/>
              </w:rPr>
              <w:t>penetration</w:t>
            </w:r>
            <w:r>
              <w:rPr>
                <w:b/>
                <w:w w:val="99"/>
                <w:sz w:val="25"/>
              </w:rPr>
              <w:t xml:space="preserve"> </w:t>
            </w:r>
            <w:r>
              <w:rPr>
                <w:b/>
                <w:sz w:val="25"/>
              </w:rPr>
              <w:t>in 2026 as per</w:t>
            </w:r>
            <w:r>
              <w:rPr>
                <w:b/>
                <w:spacing w:val="2"/>
                <w:sz w:val="25"/>
              </w:rPr>
              <w:t xml:space="preserve"> </w:t>
            </w:r>
            <w:r>
              <w:rPr>
                <w:b/>
                <w:spacing w:val="-4"/>
                <w:sz w:val="25"/>
              </w:rPr>
              <w:t>PNGRB</w:t>
            </w:r>
          </w:p>
          <w:p w:rsidR="008215AB" w:rsidRDefault="006513FA">
            <w:pPr>
              <w:pStyle w:val="TableParagraph"/>
              <w:spacing w:line="287" w:lineRule="exact"/>
              <w:ind w:left="215" w:right="209"/>
              <w:jc w:val="center"/>
              <w:rPr>
                <w:b/>
                <w:sz w:val="25"/>
              </w:rPr>
            </w:pPr>
            <w:r>
              <w:rPr>
                <w:b/>
                <w:sz w:val="25"/>
              </w:rPr>
              <w:t>upper</w:t>
            </w:r>
            <w:r>
              <w:rPr>
                <w:b/>
                <w:spacing w:val="-6"/>
                <w:sz w:val="25"/>
              </w:rPr>
              <w:t xml:space="preserve"> </w:t>
            </w:r>
            <w:r>
              <w:rPr>
                <w:b/>
                <w:sz w:val="25"/>
              </w:rPr>
              <w:t>limit</w:t>
            </w:r>
          </w:p>
        </w:tc>
        <w:tc>
          <w:tcPr>
            <w:tcW w:w="1802" w:type="dxa"/>
          </w:tcPr>
          <w:p w:rsidR="008215AB" w:rsidRDefault="006513FA">
            <w:pPr>
              <w:pStyle w:val="TableParagraph"/>
              <w:spacing w:before="233"/>
              <w:ind w:left="219" w:right="207"/>
              <w:jc w:val="center"/>
              <w:rPr>
                <w:b/>
                <w:sz w:val="25"/>
              </w:rPr>
            </w:pPr>
            <w:r>
              <w:rPr>
                <w:b/>
                <w:sz w:val="25"/>
              </w:rPr>
              <w:t>PNG</w:t>
            </w:r>
          </w:p>
          <w:p w:rsidR="008215AB" w:rsidRDefault="006513FA">
            <w:pPr>
              <w:pStyle w:val="TableParagraph"/>
              <w:spacing w:before="44" w:line="276" w:lineRule="auto"/>
              <w:ind w:left="219" w:right="209"/>
              <w:jc w:val="center"/>
              <w:rPr>
                <w:b/>
                <w:sz w:val="25"/>
              </w:rPr>
            </w:pPr>
            <w:r>
              <w:rPr>
                <w:b/>
                <w:sz w:val="25"/>
              </w:rPr>
              <w:t>penetration</w:t>
            </w:r>
            <w:r>
              <w:rPr>
                <w:b/>
                <w:w w:val="99"/>
                <w:sz w:val="25"/>
              </w:rPr>
              <w:t xml:space="preserve"> </w:t>
            </w:r>
            <w:r>
              <w:rPr>
                <w:b/>
                <w:sz w:val="25"/>
              </w:rPr>
              <w:t>in 2026 as per</w:t>
            </w:r>
            <w:r>
              <w:rPr>
                <w:b/>
                <w:spacing w:val="-2"/>
                <w:sz w:val="25"/>
              </w:rPr>
              <w:t xml:space="preserve"> </w:t>
            </w:r>
            <w:r>
              <w:rPr>
                <w:b/>
                <w:sz w:val="25"/>
              </w:rPr>
              <w:t>H1</w:t>
            </w:r>
          </w:p>
          <w:p w:rsidR="008215AB" w:rsidRDefault="006513FA">
            <w:pPr>
              <w:pStyle w:val="TableParagraph"/>
              <w:spacing w:line="287" w:lineRule="exact"/>
              <w:ind w:left="219" w:right="208"/>
              <w:jc w:val="center"/>
              <w:rPr>
                <w:b/>
                <w:sz w:val="25"/>
              </w:rPr>
            </w:pPr>
            <w:r>
              <w:rPr>
                <w:b/>
                <w:sz w:val="25"/>
              </w:rPr>
              <w:t>bidder</w:t>
            </w:r>
          </w:p>
        </w:tc>
      </w:tr>
      <w:tr w:rsidR="008215AB">
        <w:trPr>
          <w:trHeight w:val="1142"/>
        </w:trPr>
        <w:tc>
          <w:tcPr>
            <w:tcW w:w="716" w:type="dxa"/>
          </w:tcPr>
          <w:p w:rsidR="008215AB" w:rsidRDefault="006513FA">
            <w:pPr>
              <w:pStyle w:val="TableParagraph"/>
              <w:spacing w:before="236"/>
              <w:ind w:left="273"/>
              <w:rPr>
                <w:sz w:val="25"/>
              </w:rPr>
            </w:pPr>
            <w:r>
              <w:rPr>
                <w:w w:val="99"/>
                <w:sz w:val="25"/>
              </w:rPr>
              <w:t>A</w:t>
            </w:r>
          </w:p>
        </w:tc>
        <w:tc>
          <w:tcPr>
            <w:tcW w:w="720" w:type="dxa"/>
          </w:tcPr>
          <w:p w:rsidR="008215AB" w:rsidRDefault="006513FA">
            <w:pPr>
              <w:pStyle w:val="TableParagraph"/>
              <w:spacing w:before="236"/>
              <w:ind w:left="0" w:right="266"/>
              <w:jc w:val="right"/>
              <w:rPr>
                <w:sz w:val="25"/>
              </w:rPr>
            </w:pPr>
            <w:r>
              <w:rPr>
                <w:w w:val="99"/>
                <w:sz w:val="25"/>
              </w:rPr>
              <w:t>B</w:t>
            </w:r>
          </w:p>
        </w:tc>
        <w:tc>
          <w:tcPr>
            <w:tcW w:w="2701" w:type="dxa"/>
          </w:tcPr>
          <w:p w:rsidR="008215AB" w:rsidRDefault="006513FA">
            <w:pPr>
              <w:pStyle w:val="TableParagraph"/>
              <w:spacing w:before="236"/>
              <w:ind w:left="8"/>
              <w:jc w:val="center"/>
              <w:rPr>
                <w:sz w:val="25"/>
              </w:rPr>
            </w:pPr>
            <w:r>
              <w:rPr>
                <w:w w:val="99"/>
                <w:sz w:val="25"/>
              </w:rPr>
              <w:t>C</w:t>
            </w:r>
          </w:p>
        </w:tc>
        <w:tc>
          <w:tcPr>
            <w:tcW w:w="1800" w:type="dxa"/>
          </w:tcPr>
          <w:p w:rsidR="008215AB" w:rsidRDefault="006513FA">
            <w:pPr>
              <w:pStyle w:val="TableParagraph"/>
              <w:spacing w:before="236"/>
              <w:ind w:left="5"/>
              <w:jc w:val="center"/>
              <w:rPr>
                <w:sz w:val="25"/>
              </w:rPr>
            </w:pPr>
            <w:r>
              <w:rPr>
                <w:w w:val="99"/>
                <w:sz w:val="25"/>
              </w:rPr>
              <w:t>D</w:t>
            </w:r>
          </w:p>
        </w:tc>
        <w:tc>
          <w:tcPr>
            <w:tcW w:w="2700" w:type="dxa"/>
          </w:tcPr>
          <w:p w:rsidR="008215AB" w:rsidRDefault="006513FA">
            <w:pPr>
              <w:pStyle w:val="TableParagraph"/>
              <w:spacing w:before="236"/>
              <w:ind w:left="9"/>
              <w:jc w:val="center"/>
              <w:rPr>
                <w:sz w:val="25"/>
              </w:rPr>
            </w:pPr>
            <w:r>
              <w:rPr>
                <w:w w:val="99"/>
                <w:sz w:val="25"/>
              </w:rPr>
              <w:t>E</w:t>
            </w:r>
          </w:p>
        </w:tc>
        <w:tc>
          <w:tcPr>
            <w:tcW w:w="1620" w:type="dxa"/>
          </w:tcPr>
          <w:p w:rsidR="008215AB" w:rsidRDefault="006513FA">
            <w:pPr>
              <w:pStyle w:val="TableParagraph"/>
              <w:spacing w:before="236"/>
              <w:ind w:left="5"/>
              <w:jc w:val="center"/>
              <w:rPr>
                <w:sz w:val="25"/>
              </w:rPr>
            </w:pPr>
            <w:r>
              <w:rPr>
                <w:w w:val="99"/>
                <w:sz w:val="25"/>
              </w:rPr>
              <w:t>F</w:t>
            </w:r>
          </w:p>
        </w:tc>
        <w:tc>
          <w:tcPr>
            <w:tcW w:w="1799" w:type="dxa"/>
          </w:tcPr>
          <w:p w:rsidR="008215AB" w:rsidRDefault="006513FA">
            <w:pPr>
              <w:pStyle w:val="TableParagraph"/>
              <w:spacing w:before="236"/>
              <w:ind w:left="214" w:right="210"/>
              <w:jc w:val="center"/>
              <w:rPr>
                <w:sz w:val="25"/>
              </w:rPr>
            </w:pPr>
            <w:r>
              <w:rPr>
                <w:sz w:val="25"/>
              </w:rPr>
              <w:t>G=(E/F)</w:t>
            </w:r>
          </w:p>
          <w:p w:rsidR="008215AB" w:rsidRDefault="008215AB">
            <w:pPr>
              <w:pStyle w:val="TableParagraph"/>
              <w:spacing w:before="8"/>
              <w:ind w:left="0"/>
              <w:rPr>
                <w:sz w:val="24"/>
              </w:rPr>
            </w:pPr>
          </w:p>
          <w:p w:rsidR="008215AB" w:rsidRDefault="006513FA">
            <w:pPr>
              <w:pStyle w:val="TableParagraph"/>
              <w:ind w:left="215" w:right="210"/>
              <w:jc w:val="center"/>
              <w:rPr>
                <w:sz w:val="25"/>
              </w:rPr>
            </w:pPr>
            <w:r>
              <w:rPr>
                <w:sz w:val="25"/>
              </w:rPr>
              <w:t>*100</w:t>
            </w:r>
          </w:p>
        </w:tc>
        <w:tc>
          <w:tcPr>
            <w:tcW w:w="1802" w:type="dxa"/>
          </w:tcPr>
          <w:p w:rsidR="008215AB" w:rsidRDefault="006513FA">
            <w:pPr>
              <w:pStyle w:val="TableParagraph"/>
              <w:spacing w:before="236"/>
              <w:ind w:left="219" w:right="206"/>
              <w:jc w:val="center"/>
              <w:rPr>
                <w:sz w:val="25"/>
              </w:rPr>
            </w:pPr>
            <w:r>
              <w:rPr>
                <w:sz w:val="25"/>
              </w:rPr>
              <w:t>H=(D/F)</w:t>
            </w:r>
          </w:p>
          <w:p w:rsidR="008215AB" w:rsidRDefault="008215AB">
            <w:pPr>
              <w:pStyle w:val="TableParagraph"/>
              <w:spacing w:before="8"/>
              <w:ind w:left="0"/>
              <w:rPr>
                <w:sz w:val="24"/>
              </w:rPr>
            </w:pPr>
          </w:p>
          <w:p w:rsidR="008215AB" w:rsidRDefault="006513FA">
            <w:pPr>
              <w:pStyle w:val="TableParagraph"/>
              <w:ind w:left="218" w:right="209"/>
              <w:jc w:val="center"/>
              <w:rPr>
                <w:sz w:val="25"/>
              </w:rPr>
            </w:pPr>
            <w:r>
              <w:rPr>
                <w:sz w:val="25"/>
              </w:rPr>
              <w:t>*100</w:t>
            </w:r>
          </w:p>
        </w:tc>
      </w:tr>
      <w:tr w:rsidR="008215AB">
        <w:trPr>
          <w:trHeight w:val="568"/>
        </w:trPr>
        <w:tc>
          <w:tcPr>
            <w:tcW w:w="716" w:type="dxa"/>
          </w:tcPr>
          <w:p w:rsidR="008215AB" w:rsidRDefault="006513FA">
            <w:pPr>
              <w:pStyle w:val="TableParagraph"/>
              <w:spacing w:before="235"/>
              <w:ind w:left="287"/>
              <w:rPr>
                <w:sz w:val="25"/>
              </w:rPr>
            </w:pPr>
            <w:r>
              <w:rPr>
                <w:w w:val="99"/>
                <w:sz w:val="25"/>
              </w:rPr>
              <w:t>1</w:t>
            </w:r>
          </w:p>
        </w:tc>
        <w:tc>
          <w:tcPr>
            <w:tcW w:w="720" w:type="dxa"/>
          </w:tcPr>
          <w:p w:rsidR="008215AB" w:rsidRDefault="006513FA">
            <w:pPr>
              <w:pStyle w:val="TableParagraph"/>
              <w:spacing w:before="235"/>
              <w:ind w:left="0" w:right="209"/>
              <w:jc w:val="right"/>
              <w:rPr>
                <w:sz w:val="25"/>
              </w:rPr>
            </w:pPr>
            <w:r>
              <w:rPr>
                <w:w w:val="95"/>
                <w:sz w:val="25"/>
              </w:rPr>
              <w:t>51</w:t>
            </w:r>
          </w:p>
        </w:tc>
        <w:tc>
          <w:tcPr>
            <w:tcW w:w="2701" w:type="dxa"/>
          </w:tcPr>
          <w:p w:rsidR="008215AB" w:rsidRDefault="006513FA">
            <w:pPr>
              <w:pStyle w:val="TableParagraph"/>
              <w:spacing w:before="235"/>
              <w:ind w:left="117" w:right="111"/>
              <w:jc w:val="center"/>
              <w:rPr>
                <w:sz w:val="25"/>
              </w:rPr>
            </w:pPr>
            <w:r>
              <w:rPr>
                <w:sz w:val="25"/>
              </w:rPr>
              <w:t>Puducherry</w:t>
            </w:r>
          </w:p>
        </w:tc>
        <w:tc>
          <w:tcPr>
            <w:tcW w:w="1800" w:type="dxa"/>
          </w:tcPr>
          <w:p w:rsidR="008215AB" w:rsidRDefault="006513FA">
            <w:pPr>
              <w:pStyle w:val="TableParagraph"/>
              <w:spacing w:before="235"/>
              <w:ind w:left="176" w:right="170"/>
              <w:jc w:val="center"/>
              <w:rPr>
                <w:sz w:val="25"/>
              </w:rPr>
            </w:pPr>
            <w:r>
              <w:rPr>
                <w:sz w:val="25"/>
              </w:rPr>
              <w:t>2,75,000</w:t>
            </w:r>
          </w:p>
        </w:tc>
        <w:tc>
          <w:tcPr>
            <w:tcW w:w="2700" w:type="dxa"/>
          </w:tcPr>
          <w:p w:rsidR="008215AB" w:rsidRDefault="006513FA">
            <w:pPr>
              <w:pStyle w:val="TableParagraph"/>
              <w:spacing w:before="235"/>
              <w:ind w:left="694" w:right="690"/>
              <w:jc w:val="center"/>
              <w:rPr>
                <w:sz w:val="25"/>
              </w:rPr>
            </w:pPr>
            <w:r>
              <w:rPr>
                <w:sz w:val="25"/>
              </w:rPr>
              <w:t>2,31,513</w:t>
            </w:r>
          </w:p>
        </w:tc>
        <w:tc>
          <w:tcPr>
            <w:tcW w:w="1620" w:type="dxa"/>
          </w:tcPr>
          <w:p w:rsidR="008215AB" w:rsidRDefault="006513FA">
            <w:pPr>
              <w:pStyle w:val="TableParagraph"/>
              <w:spacing w:before="235"/>
              <w:ind w:left="228" w:right="224"/>
              <w:jc w:val="center"/>
              <w:rPr>
                <w:sz w:val="25"/>
              </w:rPr>
            </w:pPr>
            <w:r>
              <w:rPr>
                <w:sz w:val="25"/>
              </w:rPr>
              <w:t>3,91,852</w:t>
            </w:r>
          </w:p>
        </w:tc>
        <w:tc>
          <w:tcPr>
            <w:tcW w:w="1799" w:type="dxa"/>
          </w:tcPr>
          <w:p w:rsidR="008215AB" w:rsidRDefault="006513FA">
            <w:pPr>
              <w:pStyle w:val="TableParagraph"/>
              <w:spacing w:before="235"/>
              <w:ind w:left="212" w:right="210"/>
              <w:jc w:val="center"/>
              <w:rPr>
                <w:sz w:val="25"/>
              </w:rPr>
            </w:pPr>
            <w:r>
              <w:rPr>
                <w:sz w:val="25"/>
              </w:rPr>
              <w:t>59%</w:t>
            </w:r>
          </w:p>
        </w:tc>
        <w:tc>
          <w:tcPr>
            <w:tcW w:w="1802" w:type="dxa"/>
          </w:tcPr>
          <w:p w:rsidR="008215AB" w:rsidRDefault="006513FA">
            <w:pPr>
              <w:pStyle w:val="TableParagraph"/>
              <w:spacing w:before="235"/>
              <w:ind w:left="219" w:right="208"/>
              <w:jc w:val="center"/>
              <w:rPr>
                <w:sz w:val="25"/>
              </w:rPr>
            </w:pPr>
            <w:r>
              <w:rPr>
                <w:sz w:val="25"/>
              </w:rPr>
              <w:t>70%</w:t>
            </w:r>
          </w:p>
        </w:tc>
      </w:tr>
      <w:tr w:rsidR="008215AB">
        <w:trPr>
          <w:trHeight w:val="570"/>
        </w:trPr>
        <w:tc>
          <w:tcPr>
            <w:tcW w:w="716" w:type="dxa"/>
          </w:tcPr>
          <w:p w:rsidR="008215AB" w:rsidRDefault="006513FA">
            <w:pPr>
              <w:pStyle w:val="TableParagraph"/>
              <w:spacing w:before="238"/>
              <w:ind w:left="287"/>
              <w:rPr>
                <w:sz w:val="25"/>
              </w:rPr>
            </w:pPr>
            <w:r>
              <w:rPr>
                <w:w w:val="99"/>
                <w:sz w:val="25"/>
              </w:rPr>
              <w:t>2</w:t>
            </w:r>
          </w:p>
        </w:tc>
        <w:tc>
          <w:tcPr>
            <w:tcW w:w="720" w:type="dxa"/>
          </w:tcPr>
          <w:p w:rsidR="008215AB" w:rsidRDefault="006513FA">
            <w:pPr>
              <w:pStyle w:val="TableParagraph"/>
              <w:spacing w:before="238"/>
              <w:ind w:left="0" w:right="209"/>
              <w:jc w:val="right"/>
              <w:rPr>
                <w:sz w:val="25"/>
              </w:rPr>
            </w:pPr>
            <w:r>
              <w:rPr>
                <w:w w:val="95"/>
                <w:sz w:val="25"/>
              </w:rPr>
              <w:t>61</w:t>
            </w:r>
          </w:p>
        </w:tc>
        <w:tc>
          <w:tcPr>
            <w:tcW w:w="2701" w:type="dxa"/>
          </w:tcPr>
          <w:p w:rsidR="008215AB" w:rsidRDefault="006513FA">
            <w:pPr>
              <w:pStyle w:val="TableParagraph"/>
              <w:spacing w:before="238"/>
              <w:ind w:left="117" w:right="114"/>
              <w:jc w:val="center"/>
              <w:rPr>
                <w:sz w:val="25"/>
              </w:rPr>
            </w:pPr>
            <w:r>
              <w:rPr>
                <w:sz w:val="25"/>
              </w:rPr>
              <w:t>Kanchipuram</w:t>
            </w:r>
          </w:p>
        </w:tc>
        <w:tc>
          <w:tcPr>
            <w:tcW w:w="1800" w:type="dxa"/>
          </w:tcPr>
          <w:p w:rsidR="008215AB" w:rsidRDefault="006513FA">
            <w:pPr>
              <w:pStyle w:val="TableParagraph"/>
              <w:spacing w:before="238"/>
              <w:ind w:left="176" w:right="170"/>
              <w:jc w:val="center"/>
              <w:rPr>
                <w:sz w:val="25"/>
              </w:rPr>
            </w:pPr>
            <w:r>
              <w:rPr>
                <w:sz w:val="25"/>
              </w:rPr>
              <w:t>11,51,111</w:t>
            </w:r>
          </w:p>
        </w:tc>
        <w:tc>
          <w:tcPr>
            <w:tcW w:w="2700" w:type="dxa"/>
          </w:tcPr>
          <w:p w:rsidR="008215AB" w:rsidRDefault="006513FA">
            <w:pPr>
              <w:pStyle w:val="TableParagraph"/>
              <w:spacing w:before="238"/>
              <w:ind w:left="695" w:right="686"/>
              <w:jc w:val="center"/>
              <w:rPr>
                <w:sz w:val="25"/>
              </w:rPr>
            </w:pPr>
            <w:r>
              <w:rPr>
                <w:sz w:val="25"/>
              </w:rPr>
              <w:t>10,06,245</w:t>
            </w:r>
          </w:p>
        </w:tc>
        <w:tc>
          <w:tcPr>
            <w:tcW w:w="1620" w:type="dxa"/>
          </w:tcPr>
          <w:p w:rsidR="008215AB" w:rsidRDefault="006513FA">
            <w:pPr>
              <w:pStyle w:val="TableParagraph"/>
              <w:spacing w:before="238"/>
              <w:ind w:left="233" w:right="224"/>
              <w:jc w:val="center"/>
              <w:rPr>
                <w:sz w:val="25"/>
              </w:rPr>
            </w:pPr>
            <w:r>
              <w:rPr>
                <w:sz w:val="25"/>
              </w:rPr>
              <w:t>20,89,765</w:t>
            </w:r>
          </w:p>
        </w:tc>
        <w:tc>
          <w:tcPr>
            <w:tcW w:w="1799" w:type="dxa"/>
          </w:tcPr>
          <w:p w:rsidR="008215AB" w:rsidRDefault="006513FA">
            <w:pPr>
              <w:pStyle w:val="TableParagraph"/>
              <w:spacing w:before="238"/>
              <w:ind w:left="212" w:right="210"/>
              <w:jc w:val="center"/>
              <w:rPr>
                <w:sz w:val="25"/>
              </w:rPr>
            </w:pPr>
            <w:r>
              <w:rPr>
                <w:sz w:val="25"/>
              </w:rPr>
              <w:t>48%</w:t>
            </w:r>
          </w:p>
        </w:tc>
        <w:tc>
          <w:tcPr>
            <w:tcW w:w="1802" w:type="dxa"/>
          </w:tcPr>
          <w:p w:rsidR="008215AB" w:rsidRDefault="006513FA">
            <w:pPr>
              <w:pStyle w:val="TableParagraph"/>
              <w:spacing w:before="238"/>
              <w:ind w:left="219" w:right="208"/>
              <w:jc w:val="center"/>
              <w:rPr>
                <w:sz w:val="25"/>
              </w:rPr>
            </w:pPr>
            <w:r>
              <w:rPr>
                <w:sz w:val="25"/>
              </w:rPr>
              <w:t>55%</w:t>
            </w:r>
          </w:p>
        </w:tc>
      </w:tr>
      <w:tr w:rsidR="008215AB">
        <w:trPr>
          <w:trHeight w:val="570"/>
        </w:trPr>
        <w:tc>
          <w:tcPr>
            <w:tcW w:w="716" w:type="dxa"/>
          </w:tcPr>
          <w:p w:rsidR="008215AB" w:rsidRDefault="006513FA">
            <w:pPr>
              <w:pStyle w:val="TableParagraph"/>
              <w:spacing w:before="238"/>
              <w:ind w:left="287"/>
              <w:rPr>
                <w:sz w:val="25"/>
              </w:rPr>
            </w:pPr>
            <w:r>
              <w:rPr>
                <w:w w:val="99"/>
                <w:sz w:val="25"/>
              </w:rPr>
              <w:t>3</w:t>
            </w:r>
          </w:p>
        </w:tc>
        <w:tc>
          <w:tcPr>
            <w:tcW w:w="720" w:type="dxa"/>
          </w:tcPr>
          <w:p w:rsidR="008215AB" w:rsidRDefault="006513FA">
            <w:pPr>
              <w:pStyle w:val="TableParagraph"/>
              <w:spacing w:before="238"/>
              <w:ind w:left="0" w:right="209"/>
              <w:jc w:val="right"/>
              <w:rPr>
                <w:sz w:val="25"/>
              </w:rPr>
            </w:pPr>
            <w:r>
              <w:rPr>
                <w:w w:val="95"/>
                <w:sz w:val="25"/>
              </w:rPr>
              <w:t>62</w:t>
            </w:r>
          </w:p>
        </w:tc>
        <w:tc>
          <w:tcPr>
            <w:tcW w:w="2701" w:type="dxa"/>
          </w:tcPr>
          <w:p w:rsidR="008215AB" w:rsidRDefault="006513FA">
            <w:pPr>
              <w:pStyle w:val="TableParagraph"/>
              <w:spacing w:before="238"/>
              <w:ind w:left="117" w:right="113"/>
              <w:jc w:val="center"/>
              <w:rPr>
                <w:sz w:val="25"/>
              </w:rPr>
            </w:pPr>
            <w:r>
              <w:rPr>
                <w:sz w:val="25"/>
              </w:rPr>
              <w:t>Chennai</w:t>
            </w:r>
          </w:p>
        </w:tc>
        <w:tc>
          <w:tcPr>
            <w:tcW w:w="1800" w:type="dxa"/>
          </w:tcPr>
          <w:p w:rsidR="008215AB" w:rsidRDefault="008215AB">
            <w:pPr>
              <w:pStyle w:val="TableParagraph"/>
              <w:ind w:left="0"/>
              <w:rPr>
                <w:rFonts w:ascii="Times New Roman"/>
                <w:sz w:val="24"/>
              </w:rPr>
            </w:pPr>
          </w:p>
        </w:tc>
        <w:tc>
          <w:tcPr>
            <w:tcW w:w="2700" w:type="dxa"/>
          </w:tcPr>
          <w:p w:rsidR="008215AB" w:rsidRDefault="006513FA">
            <w:pPr>
              <w:pStyle w:val="TableParagraph"/>
              <w:spacing w:before="238"/>
              <w:ind w:left="695" w:right="686"/>
              <w:jc w:val="center"/>
              <w:rPr>
                <w:sz w:val="25"/>
              </w:rPr>
            </w:pPr>
            <w:r>
              <w:rPr>
                <w:sz w:val="25"/>
              </w:rPr>
              <w:t>12,70,391</w:t>
            </w:r>
          </w:p>
        </w:tc>
        <w:tc>
          <w:tcPr>
            <w:tcW w:w="1620" w:type="dxa"/>
          </w:tcPr>
          <w:p w:rsidR="008215AB" w:rsidRDefault="006513FA">
            <w:pPr>
              <w:pStyle w:val="TableParagraph"/>
              <w:spacing w:before="238"/>
              <w:ind w:left="233" w:right="224"/>
              <w:jc w:val="center"/>
              <w:rPr>
                <w:sz w:val="25"/>
              </w:rPr>
            </w:pPr>
            <w:r>
              <w:rPr>
                <w:sz w:val="25"/>
              </w:rPr>
              <w:t>20,87,729</w:t>
            </w:r>
          </w:p>
        </w:tc>
        <w:tc>
          <w:tcPr>
            <w:tcW w:w="1799" w:type="dxa"/>
          </w:tcPr>
          <w:p w:rsidR="008215AB" w:rsidRDefault="008215AB">
            <w:pPr>
              <w:pStyle w:val="TableParagraph"/>
              <w:ind w:left="0"/>
              <w:rPr>
                <w:rFonts w:ascii="Times New Roman"/>
                <w:sz w:val="24"/>
              </w:rPr>
            </w:pPr>
          </w:p>
        </w:tc>
        <w:tc>
          <w:tcPr>
            <w:tcW w:w="1802" w:type="dxa"/>
          </w:tcPr>
          <w:p w:rsidR="008215AB" w:rsidRDefault="008215AB">
            <w:pPr>
              <w:pStyle w:val="TableParagraph"/>
              <w:ind w:left="0"/>
              <w:rPr>
                <w:rFonts w:ascii="Times New Roman"/>
                <w:sz w:val="24"/>
              </w:rPr>
            </w:pPr>
          </w:p>
        </w:tc>
      </w:tr>
      <w:tr w:rsidR="008215AB">
        <w:trPr>
          <w:trHeight w:val="571"/>
        </w:trPr>
        <w:tc>
          <w:tcPr>
            <w:tcW w:w="716" w:type="dxa"/>
          </w:tcPr>
          <w:p w:rsidR="008215AB" w:rsidRDefault="008215AB">
            <w:pPr>
              <w:pStyle w:val="TableParagraph"/>
              <w:ind w:left="0"/>
              <w:rPr>
                <w:rFonts w:ascii="Times New Roman"/>
                <w:sz w:val="24"/>
              </w:rPr>
            </w:pPr>
          </w:p>
        </w:tc>
        <w:tc>
          <w:tcPr>
            <w:tcW w:w="720" w:type="dxa"/>
          </w:tcPr>
          <w:p w:rsidR="008215AB" w:rsidRDefault="008215AB">
            <w:pPr>
              <w:pStyle w:val="TableParagraph"/>
              <w:ind w:left="0"/>
              <w:rPr>
                <w:rFonts w:ascii="Times New Roman"/>
                <w:sz w:val="24"/>
              </w:rPr>
            </w:pPr>
          </w:p>
        </w:tc>
        <w:tc>
          <w:tcPr>
            <w:tcW w:w="2701" w:type="dxa"/>
          </w:tcPr>
          <w:p w:rsidR="008215AB" w:rsidRDefault="006513FA">
            <w:pPr>
              <w:pStyle w:val="TableParagraph"/>
              <w:spacing w:before="236"/>
              <w:ind w:left="117" w:right="114"/>
              <w:jc w:val="center"/>
              <w:rPr>
                <w:sz w:val="25"/>
              </w:rPr>
            </w:pPr>
            <w:r>
              <w:rPr>
                <w:sz w:val="25"/>
              </w:rPr>
              <w:t>Tiruvallur</w:t>
            </w:r>
          </w:p>
        </w:tc>
        <w:tc>
          <w:tcPr>
            <w:tcW w:w="1800" w:type="dxa"/>
          </w:tcPr>
          <w:p w:rsidR="008215AB" w:rsidRDefault="008215AB">
            <w:pPr>
              <w:pStyle w:val="TableParagraph"/>
              <w:ind w:left="0"/>
              <w:rPr>
                <w:rFonts w:ascii="Times New Roman"/>
                <w:sz w:val="24"/>
              </w:rPr>
            </w:pPr>
          </w:p>
        </w:tc>
        <w:tc>
          <w:tcPr>
            <w:tcW w:w="2700" w:type="dxa"/>
          </w:tcPr>
          <w:p w:rsidR="008215AB" w:rsidRDefault="006513FA">
            <w:pPr>
              <w:pStyle w:val="TableParagraph"/>
              <w:spacing w:before="236"/>
              <w:ind w:left="695" w:right="686"/>
              <w:jc w:val="center"/>
              <w:rPr>
                <w:sz w:val="25"/>
              </w:rPr>
            </w:pPr>
            <w:r>
              <w:rPr>
                <w:sz w:val="25"/>
              </w:rPr>
              <w:t>10,63,109</w:t>
            </w:r>
          </w:p>
        </w:tc>
        <w:tc>
          <w:tcPr>
            <w:tcW w:w="1620" w:type="dxa"/>
          </w:tcPr>
          <w:p w:rsidR="008215AB" w:rsidRDefault="006513FA">
            <w:pPr>
              <w:pStyle w:val="TableParagraph"/>
              <w:spacing w:before="236"/>
              <w:ind w:left="233" w:right="224"/>
              <w:jc w:val="center"/>
              <w:rPr>
                <w:sz w:val="25"/>
              </w:rPr>
            </w:pPr>
            <w:r>
              <w:rPr>
                <w:sz w:val="25"/>
              </w:rPr>
              <w:t>21,34,971</w:t>
            </w:r>
          </w:p>
        </w:tc>
        <w:tc>
          <w:tcPr>
            <w:tcW w:w="1799" w:type="dxa"/>
          </w:tcPr>
          <w:p w:rsidR="008215AB" w:rsidRDefault="008215AB">
            <w:pPr>
              <w:pStyle w:val="TableParagraph"/>
              <w:ind w:left="0"/>
              <w:rPr>
                <w:rFonts w:ascii="Times New Roman"/>
                <w:sz w:val="24"/>
              </w:rPr>
            </w:pPr>
          </w:p>
        </w:tc>
        <w:tc>
          <w:tcPr>
            <w:tcW w:w="1802" w:type="dxa"/>
          </w:tcPr>
          <w:p w:rsidR="008215AB" w:rsidRDefault="008215AB">
            <w:pPr>
              <w:pStyle w:val="TableParagraph"/>
              <w:ind w:left="0"/>
              <w:rPr>
                <w:rFonts w:ascii="Times New Roman"/>
                <w:sz w:val="24"/>
              </w:rPr>
            </w:pPr>
          </w:p>
        </w:tc>
      </w:tr>
      <w:tr w:rsidR="008215AB">
        <w:trPr>
          <w:trHeight w:val="901"/>
        </w:trPr>
        <w:tc>
          <w:tcPr>
            <w:tcW w:w="716" w:type="dxa"/>
          </w:tcPr>
          <w:p w:rsidR="008215AB" w:rsidRDefault="008215AB">
            <w:pPr>
              <w:pStyle w:val="TableParagraph"/>
              <w:ind w:left="0"/>
              <w:rPr>
                <w:rFonts w:ascii="Times New Roman"/>
                <w:sz w:val="24"/>
              </w:rPr>
            </w:pPr>
          </w:p>
        </w:tc>
        <w:tc>
          <w:tcPr>
            <w:tcW w:w="720" w:type="dxa"/>
          </w:tcPr>
          <w:p w:rsidR="008215AB" w:rsidRDefault="008215AB">
            <w:pPr>
              <w:pStyle w:val="TableParagraph"/>
              <w:ind w:left="0"/>
              <w:rPr>
                <w:rFonts w:ascii="Times New Roman"/>
                <w:sz w:val="24"/>
              </w:rPr>
            </w:pPr>
          </w:p>
        </w:tc>
        <w:tc>
          <w:tcPr>
            <w:tcW w:w="2701" w:type="dxa"/>
          </w:tcPr>
          <w:p w:rsidR="008215AB" w:rsidRDefault="006513FA">
            <w:pPr>
              <w:pStyle w:val="TableParagraph"/>
              <w:spacing w:before="193" w:line="330" w:lineRule="atLeast"/>
              <w:ind w:left="793" w:right="386" w:hanging="384"/>
              <w:rPr>
                <w:sz w:val="25"/>
              </w:rPr>
            </w:pPr>
            <w:r>
              <w:rPr>
                <w:sz w:val="25"/>
              </w:rPr>
              <w:t>Total (Chennai &amp; Tiruvallur)</w:t>
            </w:r>
          </w:p>
        </w:tc>
        <w:tc>
          <w:tcPr>
            <w:tcW w:w="1800" w:type="dxa"/>
          </w:tcPr>
          <w:p w:rsidR="008215AB" w:rsidRDefault="006513FA">
            <w:pPr>
              <w:pStyle w:val="TableParagraph"/>
              <w:spacing w:before="235"/>
              <w:ind w:left="176" w:right="170"/>
              <w:jc w:val="center"/>
              <w:rPr>
                <w:sz w:val="25"/>
              </w:rPr>
            </w:pPr>
            <w:r>
              <w:rPr>
                <w:sz w:val="25"/>
              </w:rPr>
              <w:t>33,00,000</w:t>
            </w:r>
          </w:p>
        </w:tc>
        <w:tc>
          <w:tcPr>
            <w:tcW w:w="2700" w:type="dxa"/>
          </w:tcPr>
          <w:p w:rsidR="008215AB" w:rsidRDefault="006513FA">
            <w:pPr>
              <w:pStyle w:val="TableParagraph"/>
              <w:spacing w:before="235"/>
              <w:ind w:left="695" w:right="686"/>
              <w:jc w:val="center"/>
              <w:rPr>
                <w:sz w:val="25"/>
              </w:rPr>
            </w:pPr>
            <w:r>
              <w:rPr>
                <w:sz w:val="25"/>
              </w:rPr>
              <w:t>23,33,500</w:t>
            </w:r>
          </w:p>
        </w:tc>
        <w:tc>
          <w:tcPr>
            <w:tcW w:w="1620" w:type="dxa"/>
          </w:tcPr>
          <w:p w:rsidR="008215AB" w:rsidRDefault="006513FA">
            <w:pPr>
              <w:pStyle w:val="TableParagraph"/>
              <w:spacing w:before="235"/>
              <w:ind w:left="233" w:right="224"/>
              <w:jc w:val="center"/>
              <w:rPr>
                <w:sz w:val="25"/>
              </w:rPr>
            </w:pPr>
            <w:r>
              <w:rPr>
                <w:sz w:val="25"/>
              </w:rPr>
              <w:t>41,87,734</w:t>
            </w:r>
          </w:p>
        </w:tc>
        <w:tc>
          <w:tcPr>
            <w:tcW w:w="1799" w:type="dxa"/>
          </w:tcPr>
          <w:p w:rsidR="008215AB" w:rsidRDefault="006513FA">
            <w:pPr>
              <w:pStyle w:val="TableParagraph"/>
              <w:spacing w:before="235"/>
              <w:ind w:left="212" w:right="210"/>
              <w:jc w:val="center"/>
              <w:rPr>
                <w:sz w:val="25"/>
              </w:rPr>
            </w:pPr>
            <w:r>
              <w:rPr>
                <w:sz w:val="25"/>
              </w:rPr>
              <w:t>56%</w:t>
            </w:r>
          </w:p>
        </w:tc>
        <w:tc>
          <w:tcPr>
            <w:tcW w:w="1802" w:type="dxa"/>
          </w:tcPr>
          <w:p w:rsidR="008215AB" w:rsidRDefault="006513FA">
            <w:pPr>
              <w:pStyle w:val="TableParagraph"/>
              <w:spacing w:before="235"/>
              <w:ind w:left="219" w:right="208"/>
              <w:jc w:val="center"/>
              <w:rPr>
                <w:sz w:val="25"/>
              </w:rPr>
            </w:pPr>
            <w:r>
              <w:rPr>
                <w:sz w:val="25"/>
              </w:rPr>
              <w:t>79%</w:t>
            </w:r>
          </w:p>
        </w:tc>
      </w:tr>
      <w:tr w:rsidR="008215AB">
        <w:trPr>
          <w:trHeight w:val="1893"/>
        </w:trPr>
        <w:tc>
          <w:tcPr>
            <w:tcW w:w="716" w:type="dxa"/>
          </w:tcPr>
          <w:p w:rsidR="008215AB" w:rsidRDefault="006513FA">
            <w:pPr>
              <w:pStyle w:val="TableParagraph"/>
              <w:spacing w:before="235"/>
              <w:ind w:left="287"/>
              <w:rPr>
                <w:sz w:val="25"/>
              </w:rPr>
            </w:pPr>
            <w:r>
              <w:rPr>
                <w:w w:val="99"/>
                <w:sz w:val="25"/>
              </w:rPr>
              <w:t>4</w:t>
            </w:r>
          </w:p>
        </w:tc>
        <w:tc>
          <w:tcPr>
            <w:tcW w:w="720" w:type="dxa"/>
          </w:tcPr>
          <w:p w:rsidR="008215AB" w:rsidRDefault="006513FA">
            <w:pPr>
              <w:pStyle w:val="TableParagraph"/>
              <w:spacing w:before="235"/>
              <w:ind w:left="0" w:right="209"/>
              <w:jc w:val="right"/>
              <w:rPr>
                <w:sz w:val="25"/>
              </w:rPr>
            </w:pPr>
            <w:r>
              <w:rPr>
                <w:w w:val="95"/>
                <w:sz w:val="25"/>
              </w:rPr>
              <w:t>72</w:t>
            </w:r>
          </w:p>
        </w:tc>
        <w:tc>
          <w:tcPr>
            <w:tcW w:w="2701" w:type="dxa"/>
          </w:tcPr>
          <w:p w:rsidR="008215AB" w:rsidRDefault="006513FA">
            <w:pPr>
              <w:pStyle w:val="TableParagraph"/>
              <w:spacing w:before="235" w:line="276" w:lineRule="auto"/>
              <w:ind w:left="117" w:right="115"/>
              <w:jc w:val="center"/>
              <w:rPr>
                <w:sz w:val="25"/>
              </w:rPr>
            </w:pPr>
            <w:r>
              <w:rPr>
                <w:sz w:val="25"/>
              </w:rPr>
              <w:t>Ranga Reddy (except authorised area) Presently, Medhchal, Rangareddy &amp;</w:t>
            </w:r>
          </w:p>
          <w:p w:rsidR="008215AB" w:rsidRDefault="006513FA">
            <w:pPr>
              <w:pStyle w:val="TableParagraph"/>
              <w:spacing w:before="1"/>
              <w:ind w:left="117" w:right="113"/>
              <w:jc w:val="center"/>
              <w:rPr>
                <w:sz w:val="25"/>
              </w:rPr>
            </w:pPr>
            <w:r>
              <w:rPr>
                <w:sz w:val="25"/>
              </w:rPr>
              <w:t>Vikarabad Districts</w:t>
            </w:r>
          </w:p>
        </w:tc>
        <w:tc>
          <w:tcPr>
            <w:tcW w:w="1800" w:type="dxa"/>
          </w:tcPr>
          <w:p w:rsidR="008215AB" w:rsidRDefault="006513FA">
            <w:pPr>
              <w:pStyle w:val="TableParagraph"/>
              <w:spacing w:before="235"/>
              <w:ind w:left="176" w:right="170"/>
              <w:jc w:val="center"/>
              <w:rPr>
                <w:sz w:val="25"/>
              </w:rPr>
            </w:pPr>
            <w:r>
              <w:rPr>
                <w:sz w:val="25"/>
              </w:rPr>
              <w:t>10,05,300</w:t>
            </w:r>
          </w:p>
        </w:tc>
        <w:tc>
          <w:tcPr>
            <w:tcW w:w="2700" w:type="dxa"/>
          </w:tcPr>
          <w:p w:rsidR="008215AB" w:rsidRDefault="006513FA">
            <w:pPr>
              <w:pStyle w:val="TableParagraph"/>
              <w:spacing w:before="235"/>
              <w:ind w:left="694" w:right="690"/>
              <w:jc w:val="center"/>
              <w:rPr>
                <w:sz w:val="25"/>
              </w:rPr>
            </w:pPr>
            <w:r>
              <w:rPr>
                <w:sz w:val="25"/>
              </w:rPr>
              <w:t>4,56,557</w:t>
            </w:r>
          </w:p>
        </w:tc>
        <w:tc>
          <w:tcPr>
            <w:tcW w:w="1620" w:type="dxa"/>
          </w:tcPr>
          <w:p w:rsidR="008215AB" w:rsidRDefault="006513FA">
            <w:pPr>
              <w:pStyle w:val="TableParagraph"/>
              <w:spacing w:before="235"/>
              <w:ind w:left="233" w:right="224"/>
              <w:jc w:val="center"/>
              <w:rPr>
                <w:sz w:val="25"/>
              </w:rPr>
            </w:pPr>
            <w:r>
              <w:rPr>
                <w:sz w:val="25"/>
              </w:rPr>
              <w:t>10,17,097</w:t>
            </w:r>
          </w:p>
        </w:tc>
        <w:tc>
          <w:tcPr>
            <w:tcW w:w="1799" w:type="dxa"/>
          </w:tcPr>
          <w:p w:rsidR="008215AB" w:rsidRDefault="006513FA">
            <w:pPr>
              <w:pStyle w:val="TableParagraph"/>
              <w:spacing w:before="235"/>
              <w:ind w:left="212" w:right="210"/>
              <w:jc w:val="center"/>
              <w:rPr>
                <w:sz w:val="25"/>
              </w:rPr>
            </w:pPr>
            <w:r>
              <w:rPr>
                <w:sz w:val="25"/>
              </w:rPr>
              <w:t>45%</w:t>
            </w:r>
          </w:p>
        </w:tc>
        <w:tc>
          <w:tcPr>
            <w:tcW w:w="1802" w:type="dxa"/>
          </w:tcPr>
          <w:p w:rsidR="008215AB" w:rsidRDefault="006513FA">
            <w:pPr>
              <w:pStyle w:val="TableParagraph"/>
              <w:spacing w:before="235"/>
              <w:ind w:left="219" w:right="208"/>
              <w:jc w:val="center"/>
              <w:rPr>
                <w:sz w:val="25"/>
              </w:rPr>
            </w:pPr>
            <w:r>
              <w:rPr>
                <w:sz w:val="25"/>
              </w:rPr>
              <w:t>99%</w:t>
            </w:r>
          </w:p>
        </w:tc>
      </w:tr>
    </w:tbl>
    <w:p w:rsidR="008215AB" w:rsidRDefault="008215AB">
      <w:pPr>
        <w:pStyle w:val="BodyText"/>
        <w:rPr>
          <w:sz w:val="20"/>
        </w:rPr>
      </w:pPr>
    </w:p>
    <w:p w:rsidR="008215AB" w:rsidRDefault="008215AB">
      <w:pPr>
        <w:pStyle w:val="BodyText"/>
        <w:rPr>
          <w:sz w:val="20"/>
        </w:rPr>
      </w:pPr>
    </w:p>
    <w:p w:rsidR="008215AB" w:rsidRDefault="008215AB">
      <w:pPr>
        <w:pStyle w:val="BodyText"/>
        <w:rPr>
          <w:sz w:val="20"/>
        </w:rPr>
      </w:pPr>
    </w:p>
    <w:p w:rsidR="008215AB" w:rsidRDefault="008215AB">
      <w:pPr>
        <w:pStyle w:val="BodyText"/>
        <w:spacing w:before="8"/>
        <w:rPr>
          <w:sz w:val="20"/>
        </w:rPr>
      </w:pPr>
    </w:p>
    <w:p w:rsidR="008215AB" w:rsidRDefault="006513FA">
      <w:pPr>
        <w:spacing w:before="94"/>
        <w:ind w:left="7058" w:right="6756"/>
        <w:jc w:val="center"/>
      </w:pPr>
      <w:r>
        <w:t>25</w:t>
      </w:r>
    </w:p>
    <w:p w:rsidR="008215AB" w:rsidRDefault="008215AB">
      <w:pPr>
        <w:jc w:val="center"/>
        <w:sectPr w:rsidR="008215AB">
          <w:footerReference w:type="default" r:id="rId12"/>
          <w:pgSz w:w="16840" w:h="11910" w:orient="landscape"/>
          <w:pgMar w:top="1100" w:right="1520" w:bottom="280" w:left="1220" w:header="0" w:footer="0" w:gutter="0"/>
          <w:cols w:space="720"/>
        </w:sectPr>
      </w:pPr>
    </w:p>
    <w:p w:rsidR="008215AB" w:rsidRDefault="006513FA">
      <w:pPr>
        <w:pStyle w:val="ListParagraph"/>
        <w:numPr>
          <w:ilvl w:val="0"/>
          <w:numId w:val="8"/>
        </w:numPr>
        <w:tabs>
          <w:tab w:val="left" w:pos="941"/>
        </w:tabs>
        <w:spacing w:before="78" w:line="480" w:lineRule="auto"/>
        <w:ind w:left="220" w:right="338" w:firstLine="0"/>
        <w:jc w:val="both"/>
        <w:rPr>
          <w:sz w:val="25"/>
        </w:rPr>
      </w:pPr>
      <w:r>
        <w:rPr>
          <w:sz w:val="25"/>
        </w:rPr>
        <w:t>The Board held a meeting on 29 August 2018. During the meeting, the Board approved the submission of the following three bidders who had made presentations before the Board with respect to the reasonableness of their quotes:</w:t>
      </w:r>
    </w:p>
    <w:p w:rsidR="008215AB" w:rsidRDefault="006513FA">
      <w:pPr>
        <w:spacing w:before="238" w:line="276" w:lineRule="auto"/>
        <w:ind w:left="1660" w:right="2091"/>
        <w:rPr>
          <w:sz w:val="21"/>
        </w:rPr>
      </w:pPr>
      <w:r>
        <w:rPr>
          <w:spacing w:val="-1"/>
          <w:w w:val="33"/>
          <w:sz w:val="21"/>
        </w:rPr>
        <w:t>―</w:t>
      </w:r>
      <w:r>
        <w:rPr>
          <w:spacing w:val="-2"/>
          <w:sz w:val="21"/>
        </w:rPr>
        <w:t>G</w:t>
      </w:r>
      <w:r>
        <w:rPr>
          <w:sz w:val="21"/>
        </w:rPr>
        <w:t>A</w:t>
      </w:r>
      <w:r>
        <w:rPr>
          <w:spacing w:val="-1"/>
          <w:sz w:val="21"/>
        </w:rPr>
        <w:t>-</w:t>
      </w:r>
      <w:r>
        <w:rPr>
          <w:sz w:val="21"/>
        </w:rPr>
        <w:t>51:</w:t>
      </w:r>
      <w:r>
        <w:rPr>
          <w:sz w:val="21"/>
        </w:rPr>
        <w:t xml:space="preserve">  </w:t>
      </w:r>
      <w:r>
        <w:rPr>
          <w:sz w:val="21"/>
        </w:rPr>
        <w:t>Co</w:t>
      </w:r>
      <w:r>
        <w:rPr>
          <w:spacing w:val="-3"/>
          <w:sz w:val="21"/>
        </w:rPr>
        <w:t>n</w:t>
      </w:r>
      <w:r>
        <w:rPr>
          <w:sz w:val="21"/>
        </w:rPr>
        <w:t>sor</w:t>
      </w:r>
      <w:r>
        <w:rPr>
          <w:spacing w:val="-2"/>
          <w:sz w:val="21"/>
        </w:rPr>
        <w:t>t</w:t>
      </w:r>
      <w:r>
        <w:rPr>
          <w:sz w:val="21"/>
        </w:rPr>
        <w:t>i</w:t>
      </w:r>
      <w:r>
        <w:rPr>
          <w:spacing w:val="-3"/>
          <w:sz w:val="21"/>
        </w:rPr>
        <w:t>u</w:t>
      </w:r>
      <w:r>
        <w:rPr>
          <w:sz w:val="21"/>
        </w:rPr>
        <w:t>m</w:t>
      </w:r>
      <w:r>
        <w:rPr>
          <w:sz w:val="21"/>
        </w:rPr>
        <w:t xml:space="preserve">  </w:t>
      </w:r>
      <w:r>
        <w:rPr>
          <w:spacing w:val="-3"/>
          <w:sz w:val="21"/>
        </w:rPr>
        <w:t>o</w:t>
      </w:r>
      <w:r>
        <w:rPr>
          <w:sz w:val="21"/>
        </w:rPr>
        <w:t>f</w:t>
      </w:r>
      <w:r>
        <w:rPr>
          <w:sz w:val="21"/>
        </w:rPr>
        <w:t xml:space="preserve">  </w:t>
      </w:r>
      <w:r>
        <w:rPr>
          <w:spacing w:val="-2"/>
          <w:sz w:val="21"/>
        </w:rPr>
        <w:t>S</w:t>
      </w:r>
      <w:r>
        <w:rPr>
          <w:sz w:val="21"/>
        </w:rPr>
        <w:t>KN</w:t>
      </w:r>
      <w:r>
        <w:rPr>
          <w:sz w:val="21"/>
        </w:rPr>
        <w:t xml:space="preserve">  </w:t>
      </w:r>
      <w:r>
        <w:rPr>
          <w:spacing w:val="-2"/>
          <w:sz w:val="21"/>
        </w:rPr>
        <w:t>H</w:t>
      </w:r>
      <w:r>
        <w:rPr>
          <w:sz w:val="21"/>
        </w:rPr>
        <w:t>ar</w:t>
      </w:r>
      <w:r>
        <w:rPr>
          <w:spacing w:val="-3"/>
          <w:sz w:val="21"/>
        </w:rPr>
        <w:t>y</w:t>
      </w:r>
      <w:r>
        <w:rPr>
          <w:sz w:val="21"/>
        </w:rPr>
        <w:t>ana</w:t>
      </w:r>
      <w:r>
        <w:rPr>
          <w:sz w:val="21"/>
        </w:rPr>
        <w:t xml:space="preserve">  </w:t>
      </w:r>
      <w:r>
        <w:rPr>
          <w:sz w:val="21"/>
        </w:rPr>
        <w:t>Ci</w:t>
      </w:r>
      <w:r>
        <w:rPr>
          <w:spacing w:val="-2"/>
          <w:sz w:val="21"/>
        </w:rPr>
        <w:t>t</w:t>
      </w:r>
      <w:r>
        <w:rPr>
          <w:sz w:val="21"/>
        </w:rPr>
        <w:t>y</w:t>
      </w:r>
      <w:r>
        <w:rPr>
          <w:sz w:val="21"/>
        </w:rPr>
        <w:t xml:space="preserve">  </w:t>
      </w:r>
      <w:r>
        <w:rPr>
          <w:spacing w:val="-2"/>
          <w:sz w:val="21"/>
        </w:rPr>
        <w:t>G</w:t>
      </w:r>
      <w:r>
        <w:rPr>
          <w:sz w:val="21"/>
        </w:rPr>
        <w:t>as</w:t>
      </w:r>
      <w:r>
        <w:rPr>
          <w:sz w:val="21"/>
        </w:rPr>
        <w:t xml:space="preserve">  </w:t>
      </w:r>
      <w:r>
        <w:rPr>
          <w:spacing w:val="-2"/>
          <w:sz w:val="21"/>
        </w:rPr>
        <w:t>D</w:t>
      </w:r>
      <w:r>
        <w:rPr>
          <w:spacing w:val="5"/>
          <w:sz w:val="21"/>
        </w:rPr>
        <w:t>i</w:t>
      </w:r>
      <w:r>
        <w:rPr>
          <w:sz w:val="21"/>
        </w:rPr>
        <w:t>s</w:t>
      </w:r>
      <w:r>
        <w:rPr>
          <w:spacing w:val="-2"/>
          <w:sz w:val="21"/>
        </w:rPr>
        <w:t>t</w:t>
      </w:r>
      <w:r>
        <w:rPr>
          <w:spacing w:val="-1"/>
          <w:sz w:val="21"/>
        </w:rPr>
        <w:t>r</w:t>
      </w:r>
      <w:r>
        <w:rPr>
          <w:sz w:val="21"/>
        </w:rPr>
        <w:t>i</w:t>
      </w:r>
      <w:r>
        <w:rPr>
          <w:spacing w:val="-3"/>
          <w:sz w:val="21"/>
        </w:rPr>
        <w:t>b</w:t>
      </w:r>
      <w:r>
        <w:rPr>
          <w:sz w:val="21"/>
        </w:rPr>
        <w:t>u</w:t>
      </w:r>
      <w:r>
        <w:rPr>
          <w:spacing w:val="-1"/>
          <w:sz w:val="21"/>
        </w:rPr>
        <w:t>t</w:t>
      </w:r>
      <w:r>
        <w:rPr>
          <w:sz w:val="21"/>
        </w:rPr>
        <w:t>i</w:t>
      </w:r>
      <w:r>
        <w:rPr>
          <w:spacing w:val="-3"/>
          <w:sz w:val="21"/>
        </w:rPr>
        <w:t>o</w:t>
      </w:r>
      <w:r>
        <w:rPr>
          <w:sz w:val="21"/>
        </w:rPr>
        <w:t xml:space="preserve">n </w:t>
      </w:r>
      <w:r>
        <w:rPr>
          <w:sz w:val="21"/>
        </w:rPr>
        <w:t>Pvt. Ltd.</w:t>
      </w:r>
    </w:p>
    <w:p w:rsidR="008215AB" w:rsidRDefault="008215AB">
      <w:pPr>
        <w:pStyle w:val="BodyText"/>
        <w:rPr>
          <w:sz w:val="21"/>
        </w:rPr>
      </w:pPr>
    </w:p>
    <w:p w:rsidR="008215AB" w:rsidRDefault="006513FA">
      <w:pPr>
        <w:spacing w:before="1" w:line="273" w:lineRule="auto"/>
        <w:ind w:left="1660" w:right="2137"/>
        <w:rPr>
          <w:sz w:val="21"/>
        </w:rPr>
      </w:pPr>
      <w:r>
        <w:rPr>
          <w:sz w:val="21"/>
        </w:rPr>
        <w:t>GA-61: Consortium of AG&amp;P LNG Marketing Pte Ltd. &amp; Atlantic Gulf &amp; Pacific Company of Manila Inc.</w:t>
      </w:r>
    </w:p>
    <w:p w:rsidR="008215AB" w:rsidRDefault="008215AB">
      <w:pPr>
        <w:pStyle w:val="BodyText"/>
        <w:spacing w:before="2"/>
        <w:rPr>
          <w:sz w:val="21"/>
        </w:rPr>
      </w:pPr>
    </w:p>
    <w:p w:rsidR="008215AB" w:rsidRDefault="006513FA">
      <w:pPr>
        <w:ind w:left="1660"/>
        <w:rPr>
          <w:sz w:val="21"/>
        </w:rPr>
      </w:pPr>
      <w:r>
        <w:rPr>
          <w:sz w:val="21"/>
        </w:rPr>
        <w:t>GA-62: Torrent Gas Private Limited.‖</w:t>
      </w:r>
    </w:p>
    <w:p w:rsidR="008215AB" w:rsidRDefault="008215AB">
      <w:pPr>
        <w:pStyle w:val="BodyText"/>
        <w:rPr>
          <w:sz w:val="24"/>
        </w:rPr>
      </w:pPr>
    </w:p>
    <w:p w:rsidR="008215AB" w:rsidRDefault="008215AB">
      <w:pPr>
        <w:pStyle w:val="BodyText"/>
        <w:rPr>
          <w:sz w:val="24"/>
        </w:rPr>
      </w:pPr>
    </w:p>
    <w:p w:rsidR="008215AB" w:rsidRDefault="008215AB">
      <w:pPr>
        <w:pStyle w:val="BodyText"/>
        <w:spacing w:before="1"/>
        <w:rPr>
          <w:sz w:val="22"/>
        </w:rPr>
      </w:pPr>
    </w:p>
    <w:p w:rsidR="008215AB" w:rsidRDefault="006513FA">
      <w:pPr>
        <w:pStyle w:val="BodyText"/>
        <w:spacing w:line="480" w:lineRule="auto"/>
        <w:ind w:left="220" w:right="337"/>
        <w:jc w:val="both"/>
      </w:pPr>
      <w:r>
        <w:t>The Board however rejected the submission of Torrent Gas Private Limited i</w:t>
      </w:r>
      <w:r>
        <w:t>n respect of the reasonableness of its quote for GA 72 and decided to award the LOI to Megha Engineering &amp; Infrastructure Private Limited, the entity with the highest composite score after Torrent Gas Private Limited was disqualified. The basis of the deci</w:t>
      </w:r>
      <w:r>
        <w:t>sion of the Board is contained in the following extracts from the minutes of 29 August 2018 meeting:</w:t>
      </w:r>
    </w:p>
    <w:p w:rsidR="008215AB" w:rsidRDefault="006513FA">
      <w:pPr>
        <w:tabs>
          <w:tab w:val="left" w:pos="2200"/>
        </w:tabs>
        <w:spacing w:before="238"/>
        <w:ind w:left="1660"/>
        <w:rPr>
          <w:sz w:val="21"/>
        </w:rPr>
      </w:pPr>
      <w:r>
        <w:rPr>
          <w:spacing w:val="-1"/>
          <w:w w:val="33"/>
          <w:sz w:val="21"/>
        </w:rPr>
        <w:t>―</w:t>
      </w:r>
      <w:r>
        <w:rPr>
          <w:spacing w:val="-1"/>
          <w:sz w:val="21"/>
        </w:rPr>
        <w:t>2</w:t>
      </w:r>
      <w:r>
        <w:rPr>
          <w:sz w:val="21"/>
        </w:rPr>
        <w:t>.</w:t>
      </w:r>
      <w:r>
        <w:rPr>
          <w:sz w:val="21"/>
        </w:rPr>
        <w:tab/>
      </w:r>
      <w:r>
        <w:rPr>
          <w:sz w:val="21"/>
        </w:rPr>
        <w:t>The</w:t>
      </w:r>
      <w:r>
        <w:rPr>
          <w:spacing w:val="-4"/>
          <w:sz w:val="21"/>
        </w:rPr>
        <w:t xml:space="preserve"> </w:t>
      </w:r>
      <w:r>
        <w:rPr>
          <w:sz w:val="21"/>
        </w:rPr>
        <w:t>Board</w:t>
      </w:r>
      <w:r>
        <w:rPr>
          <w:spacing w:val="-4"/>
          <w:sz w:val="21"/>
        </w:rPr>
        <w:t xml:space="preserve"> </w:t>
      </w:r>
      <w:r>
        <w:rPr>
          <w:spacing w:val="1"/>
          <w:sz w:val="21"/>
        </w:rPr>
        <w:t>f</w:t>
      </w:r>
      <w:r>
        <w:rPr>
          <w:sz w:val="21"/>
        </w:rPr>
        <w:t>ur</w:t>
      </w:r>
      <w:r>
        <w:rPr>
          <w:spacing w:val="-2"/>
          <w:sz w:val="21"/>
        </w:rPr>
        <w:t>t</w:t>
      </w:r>
      <w:r>
        <w:rPr>
          <w:sz w:val="21"/>
        </w:rPr>
        <w:t>her</w:t>
      </w:r>
      <w:r>
        <w:rPr>
          <w:spacing w:val="-2"/>
          <w:sz w:val="21"/>
        </w:rPr>
        <w:t xml:space="preserve"> </w:t>
      </w:r>
      <w:r>
        <w:rPr>
          <w:spacing w:val="-3"/>
          <w:sz w:val="21"/>
        </w:rPr>
        <w:t>d</w:t>
      </w:r>
      <w:r>
        <w:rPr>
          <w:sz w:val="21"/>
        </w:rPr>
        <w:t>e</w:t>
      </w:r>
      <w:r>
        <w:rPr>
          <w:spacing w:val="-2"/>
          <w:sz w:val="21"/>
        </w:rPr>
        <w:t>l</w:t>
      </w:r>
      <w:r>
        <w:rPr>
          <w:sz w:val="21"/>
        </w:rPr>
        <w:t>ibe</w:t>
      </w:r>
      <w:r>
        <w:rPr>
          <w:spacing w:val="-3"/>
          <w:sz w:val="21"/>
        </w:rPr>
        <w:t>ra</w:t>
      </w:r>
      <w:r>
        <w:rPr>
          <w:spacing w:val="-2"/>
          <w:sz w:val="21"/>
        </w:rPr>
        <w:t>t</w:t>
      </w:r>
      <w:r>
        <w:rPr>
          <w:sz w:val="21"/>
        </w:rPr>
        <w:t>ed</w:t>
      </w:r>
      <w:r>
        <w:rPr>
          <w:spacing w:val="-1"/>
          <w:sz w:val="21"/>
        </w:rPr>
        <w:t xml:space="preserve"> </w:t>
      </w:r>
      <w:r>
        <w:rPr>
          <w:sz w:val="21"/>
        </w:rPr>
        <w:t>as</w:t>
      </w:r>
      <w:r>
        <w:rPr>
          <w:spacing w:val="-1"/>
          <w:sz w:val="21"/>
        </w:rPr>
        <w:t xml:space="preserve"> </w:t>
      </w:r>
      <w:r>
        <w:rPr>
          <w:sz w:val="21"/>
        </w:rPr>
        <w:t>un</w:t>
      </w:r>
      <w:r>
        <w:rPr>
          <w:spacing w:val="-2"/>
          <w:sz w:val="21"/>
        </w:rPr>
        <w:t>d</w:t>
      </w:r>
      <w:r>
        <w:rPr>
          <w:sz w:val="21"/>
        </w:rPr>
        <w:t>er:</w:t>
      </w:r>
    </w:p>
    <w:p w:rsidR="008215AB" w:rsidRDefault="008215AB">
      <w:pPr>
        <w:pStyle w:val="BodyText"/>
        <w:rPr>
          <w:sz w:val="21"/>
        </w:rPr>
      </w:pPr>
    </w:p>
    <w:p w:rsidR="008215AB" w:rsidRDefault="006513FA">
      <w:pPr>
        <w:pStyle w:val="ListParagraph"/>
        <w:numPr>
          <w:ilvl w:val="0"/>
          <w:numId w:val="5"/>
        </w:numPr>
        <w:tabs>
          <w:tab w:val="left" w:pos="2201"/>
        </w:tabs>
        <w:ind w:right="2495"/>
        <w:jc w:val="both"/>
        <w:rPr>
          <w:sz w:val="21"/>
        </w:rPr>
      </w:pPr>
      <w:r>
        <w:rPr>
          <w:sz w:val="21"/>
        </w:rPr>
        <w:t>Following the earlier decisions, the three bidders i.e. Torrent Gas Private Limited, Consortium of AG&amp;P LNG an</w:t>
      </w:r>
      <w:r>
        <w:rPr>
          <w:sz w:val="21"/>
        </w:rPr>
        <w:t>d SKN Haryana City Gas Private Limited were called for discussion on 14</w:t>
      </w:r>
      <w:r>
        <w:rPr>
          <w:sz w:val="21"/>
          <w:vertAlign w:val="superscript"/>
        </w:rPr>
        <w:t>th</w:t>
      </w:r>
      <w:r>
        <w:rPr>
          <w:sz w:val="21"/>
        </w:rPr>
        <w:t xml:space="preserve"> and 23</w:t>
      </w:r>
      <w:r>
        <w:rPr>
          <w:sz w:val="21"/>
          <w:vertAlign w:val="superscript"/>
        </w:rPr>
        <w:t>rd</w:t>
      </w:r>
      <w:r>
        <w:rPr>
          <w:sz w:val="21"/>
        </w:rPr>
        <w:t xml:space="preserve"> August 2018 to explain reasonableness of high PNG connections quoted by them for the above</w:t>
      </w:r>
      <w:r>
        <w:rPr>
          <w:spacing w:val="-8"/>
          <w:sz w:val="21"/>
        </w:rPr>
        <w:t xml:space="preserve"> </w:t>
      </w:r>
      <w:r>
        <w:rPr>
          <w:sz w:val="21"/>
        </w:rPr>
        <w:t>GAs.</w:t>
      </w:r>
    </w:p>
    <w:p w:rsidR="008215AB" w:rsidRDefault="008215AB">
      <w:pPr>
        <w:pStyle w:val="BodyText"/>
        <w:rPr>
          <w:sz w:val="21"/>
        </w:rPr>
      </w:pPr>
    </w:p>
    <w:p w:rsidR="008215AB" w:rsidRDefault="006513FA">
      <w:pPr>
        <w:pStyle w:val="ListParagraph"/>
        <w:numPr>
          <w:ilvl w:val="0"/>
          <w:numId w:val="5"/>
        </w:numPr>
        <w:tabs>
          <w:tab w:val="left" w:pos="2201"/>
        </w:tabs>
        <w:ind w:right="2496"/>
        <w:jc w:val="both"/>
        <w:rPr>
          <w:sz w:val="21"/>
        </w:rPr>
      </w:pPr>
      <w:r>
        <w:rPr>
          <w:sz w:val="21"/>
        </w:rPr>
        <w:t>The Board referred to table in Para 15 of the agenda note wherein quoted PNG domestic connections for the above four GAs were compared with the upper limit fixed vide noted dated 23.07.2018 and projected households in 2026 (considering the number of househ</w:t>
      </w:r>
      <w:r>
        <w:rPr>
          <w:sz w:val="21"/>
        </w:rPr>
        <w:t>olds as per 2011 Census and the historical growth rate during 2001 to 2011 as per census data of 2001 to 2011). It was observed that penetration of PNG domestic connections based upon upper limit fixed by PNGRB with reference to projected number of househo</w:t>
      </w:r>
      <w:r>
        <w:rPr>
          <w:sz w:val="21"/>
        </w:rPr>
        <w:t>lds in 2026 varied from 45% to 59%. However, penetration of</w:t>
      </w:r>
      <w:r>
        <w:rPr>
          <w:spacing w:val="9"/>
          <w:sz w:val="21"/>
        </w:rPr>
        <w:t xml:space="preserve"> </w:t>
      </w:r>
      <w:r>
        <w:rPr>
          <w:sz w:val="21"/>
        </w:rPr>
        <w:t>PNG</w:t>
      </w:r>
    </w:p>
    <w:p w:rsidR="008215AB" w:rsidRDefault="008215AB">
      <w:pPr>
        <w:jc w:val="both"/>
        <w:rPr>
          <w:sz w:val="21"/>
        </w:rPr>
        <w:sectPr w:rsidR="008215AB">
          <w:footerReference w:type="default" r:id="rId13"/>
          <w:pgSz w:w="11910" w:h="16840"/>
          <w:pgMar w:top="1340" w:right="1100" w:bottom="1220" w:left="1220" w:header="0" w:footer="1034" w:gutter="0"/>
          <w:pgNumType w:start="26"/>
          <w:cols w:space="720"/>
        </w:sectPr>
      </w:pPr>
    </w:p>
    <w:p w:rsidR="008215AB" w:rsidRDefault="006513FA">
      <w:pPr>
        <w:spacing w:before="76"/>
        <w:ind w:left="2200" w:right="2498"/>
        <w:jc w:val="both"/>
        <w:rPr>
          <w:sz w:val="21"/>
        </w:rPr>
      </w:pPr>
      <w:r>
        <w:rPr>
          <w:sz w:val="21"/>
        </w:rPr>
        <w:t xml:space="preserve">domestic connections based upon quoted PNG connections with reference to projected number of households in 2026 varied from 55% to 99%. The variation </w:t>
      </w:r>
      <w:r>
        <w:rPr>
          <w:sz w:val="21"/>
        </w:rPr>
        <w:t>between two sets of numbers is 7% to 54%.</w:t>
      </w:r>
    </w:p>
    <w:p w:rsidR="008215AB" w:rsidRDefault="008215AB">
      <w:pPr>
        <w:pStyle w:val="BodyText"/>
        <w:spacing w:before="1"/>
        <w:rPr>
          <w:sz w:val="21"/>
        </w:rPr>
      </w:pPr>
    </w:p>
    <w:p w:rsidR="008215AB" w:rsidRDefault="006513FA">
      <w:pPr>
        <w:pStyle w:val="ListParagraph"/>
        <w:numPr>
          <w:ilvl w:val="0"/>
          <w:numId w:val="5"/>
        </w:numPr>
        <w:tabs>
          <w:tab w:val="left" w:pos="2201"/>
        </w:tabs>
        <w:ind w:right="2493"/>
        <w:jc w:val="both"/>
        <w:rPr>
          <w:sz w:val="21"/>
        </w:rPr>
      </w:pPr>
      <w:r>
        <w:rPr>
          <w:sz w:val="21"/>
        </w:rPr>
        <w:t>The Board observed that the highest variation of 54% is in GA-72, which is based on untenable assumptions made by the bidder as described in Para 14.3 of the agenda note. Due to  this, 10,05,300 PNG domestic conne</w:t>
      </w:r>
      <w:r>
        <w:rPr>
          <w:sz w:val="21"/>
        </w:rPr>
        <w:t>ctions quoted by the bidder are 99% of the projected households by PNGRB in 2026, which is unreasonably high. It was also observed that for the remaining 3 GAs, the variation between two sets of numbers given in para 15 of the Agenda note is 7% to 23% of p</w:t>
      </w:r>
      <w:r>
        <w:rPr>
          <w:sz w:val="21"/>
        </w:rPr>
        <w:t>rojected number of households in 2026 and PNG penetration would be in the range of 55% to</w:t>
      </w:r>
      <w:r>
        <w:rPr>
          <w:spacing w:val="-8"/>
          <w:sz w:val="21"/>
        </w:rPr>
        <w:t xml:space="preserve"> </w:t>
      </w:r>
      <w:r>
        <w:rPr>
          <w:sz w:val="21"/>
        </w:rPr>
        <w:t>79%.</w:t>
      </w:r>
    </w:p>
    <w:p w:rsidR="008215AB" w:rsidRDefault="008215AB">
      <w:pPr>
        <w:pStyle w:val="BodyText"/>
        <w:spacing w:before="1"/>
        <w:rPr>
          <w:sz w:val="21"/>
        </w:rPr>
      </w:pPr>
    </w:p>
    <w:p w:rsidR="008215AB" w:rsidRDefault="006513FA">
      <w:pPr>
        <w:pStyle w:val="ListParagraph"/>
        <w:numPr>
          <w:ilvl w:val="0"/>
          <w:numId w:val="5"/>
        </w:numPr>
        <w:tabs>
          <w:tab w:val="left" w:pos="2201"/>
        </w:tabs>
        <w:ind w:right="2494"/>
        <w:jc w:val="both"/>
        <w:rPr>
          <w:sz w:val="21"/>
        </w:rPr>
      </w:pPr>
      <w:r>
        <w:rPr>
          <w:sz w:val="21"/>
        </w:rPr>
        <w:t>The Board also referred to regulation 16(2) of CGD Authorisation Regulations, which provides for rates of pre-determined penalty for shortfall in achieving cumu</w:t>
      </w:r>
      <w:r>
        <w:rPr>
          <w:sz w:val="21"/>
        </w:rPr>
        <w:t>lative work program targets for each contract year. The entities bidding aggressive number of PNG domestic connections would be liable to pay pre-determined penalties under afore-mentioned regulation</w:t>
      </w:r>
      <w:r>
        <w:rPr>
          <w:spacing w:val="-1"/>
          <w:sz w:val="21"/>
        </w:rPr>
        <w:t xml:space="preserve"> </w:t>
      </w:r>
      <w:r>
        <w:rPr>
          <w:sz w:val="21"/>
        </w:rPr>
        <w:t>16(2).</w:t>
      </w:r>
    </w:p>
    <w:p w:rsidR="008215AB" w:rsidRDefault="008215AB">
      <w:pPr>
        <w:pStyle w:val="BodyText"/>
        <w:spacing w:before="2"/>
        <w:rPr>
          <w:sz w:val="21"/>
        </w:rPr>
      </w:pPr>
    </w:p>
    <w:p w:rsidR="008215AB" w:rsidRDefault="006513FA">
      <w:pPr>
        <w:pStyle w:val="ListParagraph"/>
        <w:numPr>
          <w:ilvl w:val="0"/>
          <w:numId w:val="5"/>
        </w:numPr>
        <w:tabs>
          <w:tab w:val="left" w:pos="2201"/>
        </w:tabs>
        <w:spacing w:line="237" w:lineRule="auto"/>
        <w:ind w:right="2495"/>
        <w:jc w:val="both"/>
        <w:rPr>
          <w:sz w:val="25"/>
        </w:rPr>
      </w:pPr>
      <w:r>
        <w:rPr>
          <w:sz w:val="21"/>
        </w:rPr>
        <w:t>In view of the above, it was decided to accept t</w:t>
      </w:r>
      <w:r>
        <w:rPr>
          <w:sz w:val="21"/>
        </w:rPr>
        <w:t>he quoted PNG domestic connections and award the Chennai &amp; Tiruvallur District GA (GA-62) to Torrent Gas Private Limited, Kanchipuram District GA</w:t>
      </w:r>
      <w:r>
        <w:rPr>
          <w:spacing w:val="3"/>
          <w:sz w:val="21"/>
        </w:rPr>
        <w:t xml:space="preserve"> </w:t>
      </w:r>
      <w:r>
        <w:rPr>
          <w:sz w:val="21"/>
        </w:rPr>
        <w:t>(GA-</w:t>
      </w:r>
    </w:p>
    <w:p w:rsidR="008215AB" w:rsidRDefault="006513FA">
      <w:pPr>
        <w:ind w:left="2200" w:right="2496"/>
        <w:jc w:val="both"/>
        <w:rPr>
          <w:sz w:val="21"/>
        </w:rPr>
      </w:pPr>
      <w:r>
        <w:rPr>
          <w:sz w:val="21"/>
        </w:rPr>
        <w:t>61) to Consortium of AG&amp;P LNG Marketing Pte. Ltd &amp; Atlantic Gulf &amp; Pacific Co. of Manila Inc. and Puduche</w:t>
      </w:r>
      <w:r>
        <w:rPr>
          <w:sz w:val="21"/>
        </w:rPr>
        <w:t>rry District GA (GA-51) to Consortium of SKN Haryana City Gas Distribution Pvt. Ltd. and Chopra Electricals to the bidders with highest composite score for respective GAs, where the variation in two sets of numbers is in the range of 7 to 23%. Regarding Me</w:t>
      </w:r>
      <w:r>
        <w:rPr>
          <w:sz w:val="21"/>
        </w:rPr>
        <w:t>dchal, Rangareddy (except area already authorised) &amp; Vikarabad District GA (GA-72), where the variation is around 54% and the bid by Torrent Gas Pvt. Ltd. is based on untenable assumptions and incorrect map, the bid of the entity with highest composite sco</w:t>
      </w:r>
      <w:r>
        <w:rPr>
          <w:sz w:val="21"/>
        </w:rPr>
        <w:t>re may be considered as unreasonably high and rejected in terms of Clause</w:t>
      </w:r>
    </w:p>
    <w:p w:rsidR="008215AB" w:rsidRDefault="006513FA">
      <w:pPr>
        <w:ind w:left="2200" w:right="2495"/>
        <w:jc w:val="both"/>
        <w:rPr>
          <w:sz w:val="21"/>
        </w:rPr>
      </w:pPr>
      <w:r>
        <w:rPr>
          <w:sz w:val="21"/>
        </w:rPr>
        <w:t>4.4.1 of ACBD. Accordingly, the GA may be awarded to the bidder with second highest composite score and LOI may be issued to Megha Engineering &amp;</w:t>
      </w:r>
      <w:r>
        <w:rPr>
          <w:sz w:val="21"/>
        </w:rPr>
        <w:t xml:space="preserve"> Infrastructure Pvt. Ltd. Subsequently, on receipt of PBG, authorisation letter (Schedule D) may be issued to the above</w:t>
      </w:r>
      <w:r>
        <w:rPr>
          <w:spacing w:val="-14"/>
          <w:sz w:val="21"/>
        </w:rPr>
        <w:t xml:space="preserve"> </w:t>
      </w:r>
      <w:r>
        <w:rPr>
          <w:sz w:val="21"/>
        </w:rPr>
        <w:t>entities.‖</w:t>
      </w:r>
    </w:p>
    <w:p w:rsidR="008215AB" w:rsidRDefault="008215AB">
      <w:pPr>
        <w:jc w:val="both"/>
        <w:rPr>
          <w:sz w:val="21"/>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6"/>
        <w:jc w:val="both"/>
      </w:pPr>
      <w:r>
        <w:t>The Board issued LOIs to SKN Haryana City Gas Distribution Private Limited and Chopra Electricals</w:t>
      </w:r>
      <w:r>
        <w:rPr>
          <w:vertAlign w:val="superscript"/>
        </w:rPr>
        <w:t>11</w:t>
      </w:r>
      <w:r>
        <w:t>, AG &amp; P</w:t>
      </w:r>
      <w:r>
        <w:t xml:space="preserve"> LNG Marketing Private Limited and Atlantic Gulf &amp; Pacific Company of Manila</w:t>
      </w:r>
      <w:r>
        <w:rPr>
          <w:vertAlign w:val="superscript"/>
        </w:rPr>
        <w:t>12</w:t>
      </w:r>
      <w:r>
        <w:t xml:space="preserve"> and Torrent Gas Private Limited on 30 August 2018 as successful bidders for GAs 51, 61 and 62 respectively. On 6 September 2018 Adani Gas Limited wrote to the Board requesting a</w:t>
      </w:r>
      <w:r>
        <w:t xml:space="preserve"> copy of the decision with respect to the issuance of LOIs for the above three GAs. Subsequently, the Board uploaded the details of the successful bidders under the ninth CGD round on its website on 14 September</w:t>
      </w:r>
      <w:r>
        <w:rPr>
          <w:spacing w:val="-5"/>
        </w:rPr>
        <w:t xml:space="preserve"> </w:t>
      </w:r>
      <w:r>
        <w:t>2018.</w:t>
      </w:r>
    </w:p>
    <w:p w:rsidR="008215AB" w:rsidRDefault="008215AB">
      <w:pPr>
        <w:pStyle w:val="BodyText"/>
        <w:spacing w:before="11"/>
        <w:rPr>
          <w:sz w:val="24"/>
        </w:rPr>
      </w:pPr>
    </w:p>
    <w:p w:rsidR="008215AB" w:rsidRDefault="006513FA">
      <w:pPr>
        <w:pStyle w:val="ListParagraph"/>
        <w:numPr>
          <w:ilvl w:val="0"/>
          <w:numId w:val="4"/>
        </w:numPr>
        <w:tabs>
          <w:tab w:val="left" w:pos="941"/>
        </w:tabs>
        <w:spacing w:line="480" w:lineRule="auto"/>
        <w:ind w:right="335" w:firstLine="0"/>
        <w:jc w:val="both"/>
        <w:rPr>
          <w:sz w:val="25"/>
        </w:rPr>
      </w:pPr>
      <w:r>
        <w:rPr>
          <w:sz w:val="25"/>
        </w:rPr>
        <w:t>On 19 September 2018, Appeal No 292 o</w:t>
      </w:r>
      <w:r>
        <w:rPr>
          <w:sz w:val="25"/>
        </w:rPr>
        <w:t>f 2018 was instituted before the APTEL by Adani Gas Limited, aggrieved</w:t>
      </w:r>
      <w:r>
        <w:rPr>
          <w:spacing w:val="-5"/>
          <w:sz w:val="25"/>
        </w:rPr>
        <w:t xml:space="preserve"> </w:t>
      </w:r>
      <w:r>
        <w:rPr>
          <w:sz w:val="25"/>
        </w:rPr>
        <w:t>by:</w:t>
      </w:r>
    </w:p>
    <w:p w:rsidR="008215AB" w:rsidRDefault="006513FA">
      <w:pPr>
        <w:pStyle w:val="ListParagraph"/>
        <w:numPr>
          <w:ilvl w:val="1"/>
          <w:numId w:val="4"/>
        </w:numPr>
        <w:tabs>
          <w:tab w:val="left" w:pos="1661"/>
        </w:tabs>
        <w:spacing w:before="240" w:line="480" w:lineRule="auto"/>
        <w:jc w:val="both"/>
        <w:rPr>
          <w:sz w:val="25"/>
        </w:rPr>
      </w:pPr>
      <w:r>
        <w:rPr>
          <w:sz w:val="25"/>
        </w:rPr>
        <w:t>The decision to award LOIs, in respect of the three GAs – 51 (Puducherry District), 61 (Kanchipuram District), and 62 (Chennai &amp;</w:t>
      </w:r>
      <w:r>
        <w:rPr>
          <w:sz w:val="25"/>
        </w:rPr>
        <w:t xml:space="preserve"> Tiruvallur Districts) on the ground that the successful bids were beyond the unreasonably high limit adopted by the Board;</w:t>
      </w:r>
      <w:r>
        <w:rPr>
          <w:spacing w:val="-17"/>
          <w:sz w:val="25"/>
        </w:rPr>
        <w:t xml:space="preserve"> </w:t>
      </w:r>
      <w:r>
        <w:rPr>
          <w:sz w:val="25"/>
        </w:rPr>
        <w:t>and</w:t>
      </w:r>
    </w:p>
    <w:p w:rsidR="008215AB" w:rsidRDefault="006513FA">
      <w:pPr>
        <w:pStyle w:val="ListParagraph"/>
        <w:numPr>
          <w:ilvl w:val="1"/>
          <w:numId w:val="4"/>
        </w:numPr>
        <w:tabs>
          <w:tab w:val="left" w:pos="1661"/>
        </w:tabs>
        <w:spacing w:before="242" w:line="480" w:lineRule="auto"/>
        <w:ind w:right="337"/>
        <w:jc w:val="both"/>
        <w:rPr>
          <w:sz w:val="25"/>
        </w:rPr>
      </w:pPr>
      <w:r>
        <w:rPr>
          <w:sz w:val="25"/>
        </w:rPr>
        <w:t xml:space="preserve">The action of the Board in issuing the LOIs without uploading the decision on the website and without communicating it to Adani </w:t>
      </w:r>
      <w:r>
        <w:rPr>
          <w:sz w:val="25"/>
        </w:rPr>
        <w:t>Gas Limited.</w:t>
      </w:r>
    </w:p>
    <w:p w:rsidR="008215AB" w:rsidRDefault="006513FA">
      <w:pPr>
        <w:pStyle w:val="BodyText"/>
        <w:spacing w:line="480" w:lineRule="auto"/>
        <w:ind w:left="220" w:right="337"/>
        <w:jc w:val="both"/>
      </w:pPr>
      <w:r>
        <w:t>Following the institution of proceedings by Adani Gas Limited, IMC Limited also instituted proceedings before the APTEL (Appeal No 323 of 2018) challenging the grant of authorisation by the Board in respect of GA 61. The prayers in both appeal</w:t>
      </w:r>
      <w:r>
        <w:t>s were identical and the Tribunal heard both appeals</w:t>
      </w:r>
      <w:r>
        <w:rPr>
          <w:spacing w:val="-6"/>
        </w:rPr>
        <w:t xml:space="preserve"> </w:t>
      </w:r>
      <w:r>
        <w:t>together.</w:t>
      </w:r>
    </w:p>
    <w:p w:rsidR="008215AB" w:rsidRDefault="008215AB">
      <w:pPr>
        <w:pStyle w:val="BodyText"/>
        <w:rPr>
          <w:sz w:val="20"/>
        </w:rPr>
      </w:pPr>
    </w:p>
    <w:p w:rsidR="008215AB" w:rsidRDefault="008215AB">
      <w:pPr>
        <w:pStyle w:val="BodyText"/>
        <w:spacing w:before="6"/>
        <w:rPr>
          <w:sz w:val="27"/>
        </w:rPr>
      </w:pPr>
      <w:r w:rsidRPr="008215AB">
        <w:pict>
          <v:rect id="_x0000_s2054" style="position:absolute;margin-left:1in;margin-top:17.8pt;width:2in;height:.6pt;z-index:-15725056;mso-wrap-distance-left:0;mso-wrap-distance-right:0;mso-position-horizontal-relative:page" fillcolor="black" stroked="f">
            <w10:wrap type="topAndBottom" anchorx="page"/>
          </v:rect>
        </w:pict>
      </w:r>
    </w:p>
    <w:p w:rsidR="008215AB" w:rsidRDefault="006513FA">
      <w:pPr>
        <w:spacing w:before="78"/>
        <w:ind w:left="220"/>
        <w:rPr>
          <w:sz w:val="18"/>
        </w:rPr>
      </w:pPr>
      <w:r>
        <w:rPr>
          <w:sz w:val="18"/>
          <w:vertAlign w:val="superscript"/>
        </w:rPr>
        <w:t>11</w:t>
      </w:r>
      <w:r>
        <w:rPr>
          <w:sz w:val="18"/>
        </w:rPr>
        <w:t xml:space="preserve"> ―SKN Haryana‖</w:t>
      </w:r>
    </w:p>
    <w:p w:rsidR="008215AB" w:rsidRDefault="006513FA">
      <w:pPr>
        <w:spacing w:before="2"/>
        <w:ind w:left="220"/>
        <w:rPr>
          <w:sz w:val="18"/>
        </w:rPr>
      </w:pPr>
      <w:r>
        <w:rPr>
          <w:sz w:val="18"/>
          <w:vertAlign w:val="superscript"/>
        </w:rPr>
        <w:t>12</w:t>
      </w:r>
      <w:r>
        <w:rPr>
          <w:sz w:val="18"/>
        </w:rPr>
        <w:t xml:space="preserve"> ―AG &amp; P LNG‖</w:t>
      </w:r>
    </w:p>
    <w:p w:rsidR="008215AB" w:rsidRDefault="008215AB">
      <w:pPr>
        <w:rPr>
          <w:sz w:val="18"/>
        </w:rPr>
        <w:sectPr w:rsidR="008215AB">
          <w:pgSz w:w="11910" w:h="16840"/>
          <w:pgMar w:top="1340" w:right="1100" w:bottom="1220" w:left="1220" w:header="0" w:footer="1034" w:gutter="0"/>
          <w:cols w:space="720"/>
        </w:sectPr>
      </w:pPr>
    </w:p>
    <w:p w:rsidR="008215AB" w:rsidRDefault="006513FA">
      <w:pPr>
        <w:pStyle w:val="ListParagraph"/>
        <w:numPr>
          <w:ilvl w:val="0"/>
          <w:numId w:val="4"/>
        </w:numPr>
        <w:tabs>
          <w:tab w:val="left" w:pos="941"/>
        </w:tabs>
        <w:spacing w:before="78" w:after="4" w:line="480" w:lineRule="auto"/>
        <w:ind w:right="334" w:firstLine="0"/>
        <w:jc w:val="both"/>
        <w:rPr>
          <w:sz w:val="25"/>
        </w:rPr>
      </w:pPr>
      <w:r>
        <w:rPr>
          <w:sz w:val="25"/>
        </w:rPr>
        <w:t>During the pendency of the appeal, by an order dated 11 October 2018 the APTEL directed the Board to file an affidavit explaining its decision taken on 23 July 2018 and the reasons on the basis of which bids were rejected, including on the ground of high a</w:t>
      </w:r>
      <w:r>
        <w:rPr>
          <w:sz w:val="25"/>
        </w:rPr>
        <w:t>nd low quotes. In pursuance of the above order, the Board filed an affidavit by which it disclosed the Board Note dated 23 July 2018 together with a compilation of documents containing board agenda notes, minutes of meetings and press releases. On a perusa</w:t>
      </w:r>
      <w:r>
        <w:rPr>
          <w:sz w:val="25"/>
        </w:rPr>
        <w:t>l of the documents submitted by the Board, the competing standing of the various bidders is summarised below for convenience: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6"/>
        <w:gridCol w:w="2335"/>
        <w:gridCol w:w="2973"/>
        <w:gridCol w:w="2337"/>
      </w:tblGrid>
      <w:tr w:rsidR="008215AB">
        <w:trPr>
          <w:trHeight w:val="1041"/>
        </w:trPr>
        <w:tc>
          <w:tcPr>
            <w:tcW w:w="1706" w:type="dxa"/>
          </w:tcPr>
          <w:p w:rsidR="008215AB" w:rsidRDefault="008215AB">
            <w:pPr>
              <w:pStyle w:val="TableParagraph"/>
              <w:spacing w:before="3"/>
              <w:ind w:left="0"/>
              <w:rPr>
                <w:sz w:val="30"/>
              </w:rPr>
            </w:pPr>
          </w:p>
          <w:p w:rsidR="008215AB" w:rsidRDefault="006513FA">
            <w:pPr>
              <w:pStyle w:val="TableParagraph"/>
              <w:ind w:left="440" w:right="437"/>
              <w:jc w:val="center"/>
              <w:rPr>
                <w:b/>
                <w:sz w:val="25"/>
              </w:rPr>
            </w:pPr>
            <w:r>
              <w:rPr>
                <w:b/>
                <w:sz w:val="25"/>
              </w:rPr>
              <w:t>GA No</w:t>
            </w:r>
          </w:p>
        </w:tc>
        <w:tc>
          <w:tcPr>
            <w:tcW w:w="2335" w:type="dxa"/>
          </w:tcPr>
          <w:p w:rsidR="008215AB" w:rsidRDefault="008215AB">
            <w:pPr>
              <w:pStyle w:val="TableParagraph"/>
              <w:spacing w:before="3"/>
              <w:ind w:left="0"/>
              <w:rPr>
                <w:sz w:val="30"/>
              </w:rPr>
            </w:pPr>
          </w:p>
          <w:p w:rsidR="008215AB" w:rsidRDefault="006513FA">
            <w:pPr>
              <w:pStyle w:val="TableParagraph"/>
              <w:ind w:left="408" w:right="403"/>
              <w:jc w:val="center"/>
              <w:rPr>
                <w:b/>
                <w:sz w:val="25"/>
              </w:rPr>
            </w:pPr>
            <w:r>
              <w:rPr>
                <w:b/>
                <w:sz w:val="25"/>
              </w:rPr>
              <w:t>Area</w:t>
            </w:r>
          </w:p>
        </w:tc>
        <w:tc>
          <w:tcPr>
            <w:tcW w:w="2973" w:type="dxa"/>
          </w:tcPr>
          <w:p w:rsidR="008215AB" w:rsidRDefault="008215AB">
            <w:pPr>
              <w:pStyle w:val="TableParagraph"/>
              <w:spacing w:before="3"/>
              <w:ind w:left="0"/>
              <w:rPr>
                <w:sz w:val="30"/>
              </w:rPr>
            </w:pPr>
          </w:p>
          <w:p w:rsidR="008215AB" w:rsidRDefault="006513FA">
            <w:pPr>
              <w:pStyle w:val="TableParagraph"/>
              <w:ind w:left="701" w:right="692"/>
              <w:jc w:val="center"/>
              <w:rPr>
                <w:b/>
                <w:sz w:val="25"/>
              </w:rPr>
            </w:pPr>
            <w:r>
              <w:rPr>
                <w:b/>
                <w:sz w:val="25"/>
              </w:rPr>
              <w:t>H1 Bidder</w:t>
            </w:r>
          </w:p>
        </w:tc>
        <w:tc>
          <w:tcPr>
            <w:tcW w:w="2337" w:type="dxa"/>
          </w:tcPr>
          <w:p w:rsidR="008215AB" w:rsidRDefault="008215AB">
            <w:pPr>
              <w:pStyle w:val="TableParagraph"/>
              <w:spacing w:before="3"/>
              <w:ind w:left="0"/>
              <w:rPr>
                <w:sz w:val="30"/>
              </w:rPr>
            </w:pPr>
          </w:p>
          <w:p w:rsidR="008215AB" w:rsidRDefault="006513FA">
            <w:pPr>
              <w:pStyle w:val="TableParagraph"/>
              <w:ind w:left="97" w:right="82"/>
              <w:jc w:val="center"/>
              <w:rPr>
                <w:b/>
                <w:sz w:val="25"/>
              </w:rPr>
            </w:pPr>
            <w:r>
              <w:rPr>
                <w:b/>
                <w:sz w:val="25"/>
              </w:rPr>
              <w:t>H2 Bidder</w:t>
            </w:r>
          </w:p>
        </w:tc>
      </w:tr>
      <w:tr w:rsidR="008215AB">
        <w:trPr>
          <w:trHeight w:val="890"/>
        </w:trPr>
        <w:tc>
          <w:tcPr>
            <w:tcW w:w="1706" w:type="dxa"/>
          </w:tcPr>
          <w:p w:rsidR="008215AB" w:rsidRDefault="008215AB">
            <w:pPr>
              <w:pStyle w:val="TableParagraph"/>
              <w:ind w:left="0"/>
              <w:rPr>
                <w:sz w:val="24"/>
              </w:rPr>
            </w:pPr>
          </w:p>
          <w:p w:rsidR="008215AB" w:rsidRDefault="006513FA">
            <w:pPr>
              <w:pStyle w:val="TableParagraph"/>
              <w:spacing w:before="1"/>
              <w:ind w:left="440" w:right="433"/>
              <w:jc w:val="center"/>
              <w:rPr>
                <w:sz w:val="25"/>
              </w:rPr>
            </w:pPr>
            <w:r>
              <w:rPr>
                <w:sz w:val="25"/>
              </w:rPr>
              <w:t>51</w:t>
            </w:r>
          </w:p>
        </w:tc>
        <w:tc>
          <w:tcPr>
            <w:tcW w:w="2335" w:type="dxa"/>
          </w:tcPr>
          <w:p w:rsidR="008215AB" w:rsidRDefault="008215AB">
            <w:pPr>
              <w:pStyle w:val="TableParagraph"/>
              <w:ind w:left="0"/>
              <w:rPr>
                <w:sz w:val="24"/>
              </w:rPr>
            </w:pPr>
          </w:p>
          <w:p w:rsidR="008215AB" w:rsidRDefault="006513FA">
            <w:pPr>
              <w:pStyle w:val="TableParagraph"/>
              <w:spacing w:before="1"/>
              <w:ind w:left="407" w:right="403"/>
              <w:jc w:val="center"/>
              <w:rPr>
                <w:sz w:val="25"/>
              </w:rPr>
            </w:pPr>
            <w:r>
              <w:rPr>
                <w:sz w:val="25"/>
              </w:rPr>
              <w:t>Puducherry</w:t>
            </w:r>
          </w:p>
        </w:tc>
        <w:tc>
          <w:tcPr>
            <w:tcW w:w="2973" w:type="dxa"/>
          </w:tcPr>
          <w:p w:rsidR="008215AB" w:rsidRDefault="008215AB">
            <w:pPr>
              <w:pStyle w:val="TableParagraph"/>
              <w:ind w:left="0"/>
              <w:rPr>
                <w:sz w:val="24"/>
              </w:rPr>
            </w:pPr>
          </w:p>
          <w:p w:rsidR="008215AB" w:rsidRDefault="006513FA">
            <w:pPr>
              <w:pStyle w:val="TableParagraph"/>
              <w:spacing w:before="1"/>
              <w:ind w:left="701" w:right="693"/>
              <w:jc w:val="center"/>
              <w:rPr>
                <w:sz w:val="25"/>
              </w:rPr>
            </w:pPr>
            <w:r>
              <w:rPr>
                <w:sz w:val="25"/>
              </w:rPr>
              <w:t>SKN Haryana</w:t>
            </w:r>
          </w:p>
        </w:tc>
        <w:tc>
          <w:tcPr>
            <w:tcW w:w="2337" w:type="dxa"/>
          </w:tcPr>
          <w:p w:rsidR="008215AB" w:rsidRDefault="006513FA">
            <w:pPr>
              <w:pStyle w:val="TableParagraph"/>
              <w:spacing w:before="111" w:line="276" w:lineRule="auto"/>
              <w:ind w:left="342" w:firstLine="158"/>
              <w:rPr>
                <w:sz w:val="25"/>
              </w:rPr>
            </w:pPr>
            <w:r>
              <w:rPr>
                <w:sz w:val="25"/>
              </w:rPr>
              <w:t>Torrent Gas Private Limited</w:t>
            </w:r>
          </w:p>
        </w:tc>
      </w:tr>
      <w:tr w:rsidR="008215AB">
        <w:trPr>
          <w:trHeight w:val="561"/>
        </w:trPr>
        <w:tc>
          <w:tcPr>
            <w:tcW w:w="1706" w:type="dxa"/>
          </w:tcPr>
          <w:p w:rsidR="008215AB" w:rsidRDefault="006513FA">
            <w:pPr>
              <w:pStyle w:val="TableParagraph"/>
              <w:spacing w:before="111"/>
              <w:ind w:left="440" w:right="433"/>
              <w:jc w:val="center"/>
              <w:rPr>
                <w:sz w:val="25"/>
              </w:rPr>
            </w:pPr>
            <w:r>
              <w:rPr>
                <w:sz w:val="25"/>
              </w:rPr>
              <w:t>61</w:t>
            </w:r>
          </w:p>
        </w:tc>
        <w:tc>
          <w:tcPr>
            <w:tcW w:w="2335" w:type="dxa"/>
          </w:tcPr>
          <w:p w:rsidR="008215AB" w:rsidRDefault="006513FA">
            <w:pPr>
              <w:pStyle w:val="TableParagraph"/>
              <w:spacing w:before="111"/>
              <w:ind w:left="408" w:right="403"/>
              <w:jc w:val="center"/>
              <w:rPr>
                <w:sz w:val="25"/>
              </w:rPr>
            </w:pPr>
            <w:r>
              <w:rPr>
                <w:sz w:val="25"/>
              </w:rPr>
              <w:t>Kanchipuram</w:t>
            </w:r>
          </w:p>
        </w:tc>
        <w:tc>
          <w:tcPr>
            <w:tcW w:w="2973" w:type="dxa"/>
          </w:tcPr>
          <w:p w:rsidR="008215AB" w:rsidRDefault="006513FA">
            <w:pPr>
              <w:pStyle w:val="TableParagraph"/>
              <w:spacing w:before="111"/>
              <w:ind w:left="701" w:right="692"/>
              <w:jc w:val="center"/>
              <w:rPr>
                <w:sz w:val="25"/>
              </w:rPr>
            </w:pPr>
            <w:r>
              <w:rPr>
                <w:sz w:val="25"/>
              </w:rPr>
              <w:t>AG &amp; P LNG</w:t>
            </w:r>
          </w:p>
        </w:tc>
        <w:tc>
          <w:tcPr>
            <w:tcW w:w="2337" w:type="dxa"/>
          </w:tcPr>
          <w:p w:rsidR="008215AB" w:rsidRDefault="006513FA">
            <w:pPr>
              <w:pStyle w:val="TableParagraph"/>
              <w:spacing w:before="111"/>
              <w:ind w:left="97" w:right="87"/>
              <w:jc w:val="center"/>
              <w:rPr>
                <w:sz w:val="25"/>
              </w:rPr>
            </w:pPr>
            <w:r>
              <w:rPr>
                <w:sz w:val="25"/>
              </w:rPr>
              <w:t>IMC Limited</w:t>
            </w:r>
          </w:p>
        </w:tc>
      </w:tr>
      <w:tr w:rsidR="008215AB">
        <w:trPr>
          <w:trHeight w:val="892"/>
        </w:trPr>
        <w:tc>
          <w:tcPr>
            <w:tcW w:w="1706" w:type="dxa"/>
          </w:tcPr>
          <w:p w:rsidR="008215AB" w:rsidRDefault="008215AB">
            <w:pPr>
              <w:pStyle w:val="TableParagraph"/>
              <w:ind w:left="0"/>
              <w:rPr>
                <w:sz w:val="24"/>
              </w:rPr>
            </w:pPr>
          </w:p>
          <w:p w:rsidR="008215AB" w:rsidRDefault="006513FA">
            <w:pPr>
              <w:pStyle w:val="TableParagraph"/>
              <w:ind w:left="440" w:right="433"/>
              <w:jc w:val="center"/>
              <w:rPr>
                <w:sz w:val="25"/>
              </w:rPr>
            </w:pPr>
            <w:r>
              <w:rPr>
                <w:sz w:val="25"/>
              </w:rPr>
              <w:t>62</w:t>
            </w:r>
          </w:p>
        </w:tc>
        <w:tc>
          <w:tcPr>
            <w:tcW w:w="2335" w:type="dxa"/>
          </w:tcPr>
          <w:p w:rsidR="008215AB" w:rsidRDefault="006513FA">
            <w:pPr>
              <w:pStyle w:val="TableParagraph"/>
              <w:spacing w:before="111" w:line="276" w:lineRule="auto"/>
              <w:ind w:left="652" w:right="571" w:hanging="58"/>
              <w:rPr>
                <w:sz w:val="25"/>
              </w:rPr>
            </w:pPr>
            <w:r>
              <w:rPr>
                <w:sz w:val="25"/>
              </w:rPr>
              <w:t>Chennai – Tiruvallur</w:t>
            </w:r>
          </w:p>
        </w:tc>
        <w:tc>
          <w:tcPr>
            <w:tcW w:w="2973" w:type="dxa"/>
          </w:tcPr>
          <w:p w:rsidR="008215AB" w:rsidRDefault="006513FA">
            <w:pPr>
              <w:pStyle w:val="TableParagraph"/>
              <w:spacing w:before="111" w:line="276" w:lineRule="auto"/>
              <w:ind w:left="1083" w:right="365" w:hanging="687"/>
              <w:rPr>
                <w:sz w:val="25"/>
              </w:rPr>
            </w:pPr>
            <w:r>
              <w:rPr>
                <w:sz w:val="25"/>
              </w:rPr>
              <w:t>Torrent Gas Private Limited</w:t>
            </w:r>
          </w:p>
        </w:tc>
        <w:tc>
          <w:tcPr>
            <w:tcW w:w="2337" w:type="dxa"/>
          </w:tcPr>
          <w:p w:rsidR="008215AB" w:rsidRDefault="008215AB">
            <w:pPr>
              <w:pStyle w:val="TableParagraph"/>
              <w:ind w:left="0"/>
              <w:rPr>
                <w:sz w:val="24"/>
              </w:rPr>
            </w:pPr>
          </w:p>
          <w:p w:rsidR="008215AB" w:rsidRDefault="006513FA">
            <w:pPr>
              <w:pStyle w:val="TableParagraph"/>
              <w:ind w:left="97" w:right="147"/>
              <w:jc w:val="center"/>
              <w:rPr>
                <w:sz w:val="25"/>
              </w:rPr>
            </w:pPr>
            <w:r>
              <w:rPr>
                <w:sz w:val="25"/>
              </w:rPr>
              <w:t>Adani Gas Limited</w:t>
            </w:r>
          </w:p>
        </w:tc>
      </w:tr>
    </w:tbl>
    <w:p w:rsidR="008215AB" w:rsidRDefault="008215AB">
      <w:pPr>
        <w:pStyle w:val="BodyText"/>
        <w:spacing w:before="7"/>
        <w:rPr>
          <w:sz w:val="24"/>
        </w:rPr>
      </w:pPr>
    </w:p>
    <w:p w:rsidR="008215AB" w:rsidRDefault="006513FA">
      <w:pPr>
        <w:pStyle w:val="BodyText"/>
        <w:spacing w:before="1" w:line="480" w:lineRule="auto"/>
        <w:ind w:left="220" w:right="333"/>
        <w:jc w:val="both"/>
      </w:pPr>
      <w:r>
        <w:t>In GA 51, Adani Gas Limited was the sixth highest bidder and in GA 61 Adani Gas Limited was the third highest bidder. In Appeal No 292 of 2018 Adani Gas Limited challenged the grant of authorisation in GAs 51, 61 and 62 and in Appeal No 323 of 2018 IMC Lim</w:t>
      </w:r>
      <w:r>
        <w:t>ited challenged the grant of authorisation in GA</w:t>
      </w:r>
      <w:r>
        <w:rPr>
          <w:spacing w:val="-12"/>
        </w:rPr>
        <w:t xml:space="preserve"> </w:t>
      </w:r>
      <w:r>
        <w:t>61.</w:t>
      </w:r>
    </w:p>
    <w:p w:rsidR="008215AB" w:rsidRDefault="008215AB">
      <w:pPr>
        <w:pStyle w:val="BodyText"/>
      </w:pPr>
    </w:p>
    <w:p w:rsidR="008215AB" w:rsidRDefault="006513FA">
      <w:pPr>
        <w:pStyle w:val="ListParagraph"/>
        <w:numPr>
          <w:ilvl w:val="0"/>
          <w:numId w:val="4"/>
        </w:numPr>
        <w:tabs>
          <w:tab w:val="left" w:pos="941"/>
        </w:tabs>
        <w:spacing w:line="480" w:lineRule="auto"/>
        <w:ind w:right="334" w:firstLine="0"/>
        <w:jc w:val="both"/>
        <w:rPr>
          <w:sz w:val="25"/>
        </w:rPr>
      </w:pPr>
      <w:r>
        <w:rPr>
          <w:sz w:val="25"/>
        </w:rPr>
        <w:t xml:space="preserve">On 28 February 2019, the APTEL pronounced a split decision. </w:t>
      </w:r>
      <w:r>
        <w:rPr>
          <w:spacing w:val="2"/>
          <w:sz w:val="25"/>
        </w:rPr>
        <w:t xml:space="preserve">While </w:t>
      </w:r>
      <w:r>
        <w:rPr>
          <w:sz w:val="25"/>
        </w:rPr>
        <w:t>the Chairperson allowed the appeals filed by Adani Gas Limited and IMC Limited, the Member Technical (Petroleum and Natural Gas) dismissed the appeals. In view of</w:t>
      </w:r>
      <w:r>
        <w:rPr>
          <w:spacing w:val="46"/>
          <w:sz w:val="25"/>
        </w:rPr>
        <w:t xml:space="preserve"> </w:t>
      </w:r>
      <w:r>
        <w:rPr>
          <w:sz w:val="25"/>
        </w:rPr>
        <w:t>the</w:t>
      </w:r>
      <w:r>
        <w:rPr>
          <w:spacing w:val="47"/>
          <w:sz w:val="25"/>
        </w:rPr>
        <w:t xml:space="preserve"> </w:t>
      </w:r>
      <w:r>
        <w:rPr>
          <w:sz w:val="25"/>
        </w:rPr>
        <w:t>divergence</w:t>
      </w:r>
      <w:r>
        <w:rPr>
          <w:spacing w:val="46"/>
          <w:sz w:val="25"/>
        </w:rPr>
        <w:t xml:space="preserve"> </w:t>
      </w:r>
      <w:r>
        <w:rPr>
          <w:sz w:val="25"/>
        </w:rPr>
        <w:t>of</w:t>
      </w:r>
      <w:r>
        <w:rPr>
          <w:spacing w:val="47"/>
          <w:sz w:val="25"/>
        </w:rPr>
        <w:t xml:space="preserve"> </w:t>
      </w:r>
      <w:r>
        <w:rPr>
          <w:sz w:val="25"/>
        </w:rPr>
        <w:t>opinion</w:t>
      </w:r>
      <w:r>
        <w:rPr>
          <w:spacing w:val="46"/>
          <w:sz w:val="25"/>
        </w:rPr>
        <w:t xml:space="preserve"> </w:t>
      </w:r>
      <w:r>
        <w:rPr>
          <w:sz w:val="25"/>
        </w:rPr>
        <w:t>between</w:t>
      </w:r>
      <w:r>
        <w:rPr>
          <w:spacing w:val="46"/>
          <w:sz w:val="25"/>
        </w:rPr>
        <w:t xml:space="preserve"> </w:t>
      </w:r>
      <w:r>
        <w:rPr>
          <w:sz w:val="25"/>
        </w:rPr>
        <w:t>the</w:t>
      </w:r>
      <w:r>
        <w:rPr>
          <w:spacing w:val="50"/>
          <w:sz w:val="25"/>
        </w:rPr>
        <w:t xml:space="preserve"> </w:t>
      </w:r>
      <w:r>
        <w:rPr>
          <w:sz w:val="25"/>
        </w:rPr>
        <w:t>Chairperson</w:t>
      </w:r>
      <w:r>
        <w:rPr>
          <w:spacing w:val="46"/>
          <w:sz w:val="25"/>
        </w:rPr>
        <w:t xml:space="preserve"> </w:t>
      </w:r>
      <w:r>
        <w:rPr>
          <w:sz w:val="25"/>
        </w:rPr>
        <w:t>and</w:t>
      </w:r>
      <w:r>
        <w:rPr>
          <w:spacing w:val="45"/>
          <w:sz w:val="25"/>
        </w:rPr>
        <w:t xml:space="preserve"> </w:t>
      </w:r>
      <w:r>
        <w:rPr>
          <w:sz w:val="25"/>
        </w:rPr>
        <w:t>Member</w:t>
      </w:r>
      <w:r>
        <w:rPr>
          <w:spacing w:val="47"/>
          <w:sz w:val="25"/>
        </w:rPr>
        <w:t xml:space="preserve"> </w:t>
      </w:r>
      <w:r>
        <w:rPr>
          <w:sz w:val="25"/>
        </w:rPr>
        <w:t>Technical</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5"/>
        <w:jc w:val="both"/>
      </w:pPr>
      <w:r>
        <w:t>(Pet</w:t>
      </w:r>
      <w:r>
        <w:t>roleum and Natural Gas), the appeals were referred to the Judicial Member of the APTEL. The Judicial Member recused from hearing the appeal on 7 March 2019, as a result of which proceedings were instituted before this Court. As noted earlier, the appeals p</w:t>
      </w:r>
      <w:r>
        <w:t>ending before the APTEL have been transferred to this Court.</w:t>
      </w:r>
    </w:p>
    <w:p w:rsidR="008215AB" w:rsidRDefault="008215AB">
      <w:pPr>
        <w:pStyle w:val="BodyText"/>
        <w:spacing w:before="9"/>
        <w:rPr>
          <w:sz w:val="24"/>
        </w:rPr>
      </w:pPr>
    </w:p>
    <w:p w:rsidR="008215AB" w:rsidRDefault="006513FA">
      <w:pPr>
        <w:pStyle w:val="Heading1"/>
        <w:spacing w:before="1"/>
        <w:ind w:left="220"/>
        <w:jc w:val="left"/>
      </w:pPr>
      <w:r>
        <w:t>Analysis</w:t>
      </w:r>
    </w:p>
    <w:p w:rsidR="008215AB" w:rsidRDefault="008215AB">
      <w:pPr>
        <w:pStyle w:val="BodyText"/>
        <w:rPr>
          <w:b/>
          <w:sz w:val="28"/>
        </w:rPr>
      </w:pPr>
    </w:p>
    <w:p w:rsidR="008215AB" w:rsidRDefault="008215AB">
      <w:pPr>
        <w:pStyle w:val="BodyText"/>
        <w:spacing w:before="2"/>
        <w:rPr>
          <w:b/>
          <w:sz w:val="22"/>
        </w:rPr>
      </w:pPr>
    </w:p>
    <w:p w:rsidR="008215AB" w:rsidRDefault="006513FA">
      <w:pPr>
        <w:pStyle w:val="ListParagraph"/>
        <w:numPr>
          <w:ilvl w:val="0"/>
          <w:numId w:val="4"/>
        </w:numPr>
        <w:tabs>
          <w:tab w:val="left" w:pos="941"/>
        </w:tabs>
        <w:spacing w:line="480" w:lineRule="auto"/>
        <w:ind w:right="334" w:firstLine="0"/>
        <w:jc w:val="both"/>
        <w:rPr>
          <w:sz w:val="25"/>
        </w:rPr>
      </w:pPr>
      <w:r>
        <w:rPr>
          <w:sz w:val="25"/>
        </w:rPr>
        <w:t>Having set out the facts, we now turn to the issues raised by the present dispute before this Court. The first aspect which forms the subject matter of the controversy is the relevanc</w:t>
      </w:r>
      <w:r>
        <w:rPr>
          <w:sz w:val="25"/>
        </w:rPr>
        <w:t>e of the 2011 Census data in the bidding process. The primary plank on which the appellants contend that the 2011 Census data was relevant to the bidding process was the reference to population/household figures derived from 2011 Census data in the map ann</w:t>
      </w:r>
      <w:r>
        <w:rPr>
          <w:sz w:val="25"/>
        </w:rPr>
        <w:t>exed to the Bid</w:t>
      </w:r>
      <w:r>
        <w:rPr>
          <w:spacing w:val="-14"/>
          <w:sz w:val="25"/>
        </w:rPr>
        <w:t xml:space="preserve"> </w:t>
      </w:r>
      <w:r>
        <w:rPr>
          <w:sz w:val="25"/>
        </w:rPr>
        <w:t>Document.</w:t>
      </w:r>
    </w:p>
    <w:p w:rsidR="008215AB" w:rsidRDefault="008215AB">
      <w:pPr>
        <w:pStyle w:val="BodyText"/>
      </w:pPr>
    </w:p>
    <w:p w:rsidR="008215AB" w:rsidRDefault="006513FA">
      <w:pPr>
        <w:pStyle w:val="ListParagraph"/>
        <w:numPr>
          <w:ilvl w:val="0"/>
          <w:numId w:val="4"/>
        </w:numPr>
        <w:tabs>
          <w:tab w:val="left" w:pos="941"/>
        </w:tabs>
        <w:spacing w:line="480" w:lineRule="auto"/>
        <w:ind w:right="345" w:firstLine="0"/>
        <w:jc w:val="both"/>
        <w:rPr>
          <w:sz w:val="25"/>
        </w:rPr>
      </w:pPr>
      <w:r>
        <w:rPr>
          <w:sz w:val="25"/>
        </w:rPr>
        <w:t>Dr A M Singhvi, learned Senior Counsel appearing on behalf of Adani Gas Limited, submitted that:</w:t>
      </w:r>
    </w:p>
    <w:p w:rsidR="008215AB" w:rsidRDefault="006513FA">
      <w:pPr>
        <w:pStyle w:val="ListParagraph"/>
        <w:numPr>
          <w:ilvl w:val="1"/>
          <w:numId w:val="4"/>
        </w:numPr>
        <w:tabs>
          <w:tab w:val="left" w:pos="1661"/>
        </w:tabs>
        <w:spacing w:line="480" w:lineRule="auto"/>
        <w:jc w:val="both"/>
        <w:rPr>
          <w:sz w:val="25"/>
        </w:rPr>
      </w:pPr>
      <w:r>
        <w:rPr>
          <w:sz w:val="25"/>
        </w:rPr>
        <w:t xml:space="preserve">The map which was attached to the Bid Document did not only describe the land area but also the population and households comprised </w:t>
      </w:r>
      <w:r>
        <w:rPr>
          <w:sz w:val="25"/>
        </w:rPr>
        <w:t>in</w:t>
      </w:r>
      <w:r>
        <w:rPr>
          <w:spacing w:val="-2"/>
          <w:sz w:val="25"/>
        </w:rPr>
        <w:t xml:space="preserve"> </w:t>
      </w:r>
      <w:r>
        <w:rPr>
          <w:sz w:val="25"/>
        </w:rPr>
        <w:t>it;</w:t>
      </w:r>
    </w:p>
    <w:p w:rsidR="008215AB" w:rsidRDefault="006513FA">
      <w:pPr>
        <w:pStyle w:val="ListParagraph"/>
        <w:numPr>
          <w:ilvl w:val="1"/>
          <w:numId w:val="4"/>
        </w:numPr>
        <w:tabs>
          <w:tab w:val="left" w:pos="1661"/>
        </w:tabs>
        <w:spacing w:before="1" w:line="480" w:lineRule="auto"/>
        <w:jc w:val="both"/>
        <w:rPr>
          <w:sz w:val="25"/>
        </w:rPr>
      </w:pPr>
      <w:r>
        <w:rPr>
          <w:sz w:val="25"/>
        </w:rPr>
        <w:t>The rationale for this was that the authorisation is to lay the CGD network in a defined land area and to service the defined households in that</w:t>
      </w:r>
      <w:r>
        <w:rPr>
          <w:spacing w:val="-2"/>
          <w:sz w:val="25"/>
        </w:rPr>
        <w:t xml:space="preserve"> </w:t>
      </w:r>
      <w:r>
        <w:rPr>
          <w:sz w:val="25"/>
        </w:rPr>
        <w:t>area;</w:t>
      </w:r>
    </w:p>
    <w:p w:rsidR="008215AB" w:rsidRDefault="006513FA">
      <w:pPr>
        <w:pStyle w:val="ListParagraph"/>
        <w:numPr>
          <w:ilvl w:val="1"/>
          <w:numId w:val="4"/>
        </w:numPr>
        <w:tabs>
          <w:tab w:val="left" w:pos="1661"/>
        </w:tabs>
        <w:spacing w:before="1" w:line="480" w:lineRule="auto"/>
        <w:ind w:right="346"/>
        <w:jc w:val="both"/>
        <w:rPr>
          <w:sz w:val="25"/>
        </w:rPr>
      </w:pPr>
      <w:r>
        <w:rPr>
          <w:sz w:val="25"/>
        </w:rPr>
        <w:t>The figures for population and number of households in the map attached to the Bid Document were drawn from the 2011</w:t>
      </w:r>
      <w:r>
        <w:rPr>
          <w:spacing w:val="-14"/>
          <w:sz w:val="25"/>
        </w:rPr>
        <w:t xml:space="preserve"> </w:t>
      </w:r>
      <w:r>
        <w:rPr>
          <w:sz w:val="25"/>
        </w:rPr>
        <w:t>Census;</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ListParagraph"/>
        <w:numPr>
          <w:ilvl w:val="1"/>
          <w:numId w:val="4"/>
        </w:numPr>
        <w:tabs>
          <w:tab w:val="left" w:pos="1661"/>
        </w:tabs>
        <w:spacing w:before="78" w:line="480" w:lineRule="auto"/>
        <w:jc w:val="both"/>
        <w:rPr>
          <w:sz w:val="25"/>
        </w:rPr>
      </w:pPr>
      <w:r>
        <w:rPr>
          <w:sz w:val="25"/>
        </w:rPr>
        <w:t>In several areas out of the 86 GAs which were a part of the ninth round of bidding, certain parts of the GAs were</w:t>
      </w:r>
      <w:r>
        <w:rPr>
          <w:sz w:val="25"/>
        </w:rPr>
        <w:t xml:space="preserve"> excluded from the zone of</w:t>
      </w:r>
      <w:r>
        <w:rPr>
          <w:spacing w:val="-3"/>
          <w:sz w:val="25"/>
        </w:rPr>
        <w:t xml:space="preserve"> </w:t>
      </w:r>
      <w:r>
        <w:rPr>
          <w:sz w:val="25"/>
        </w:rPr>
        <w:t>authorisation;</w:t>
      </w:r>
    </w:p>
    <w:p w:rsidR="008215AB" w:rsidRDefault="006513FA">
      <w:pPr>
        <w:pStyle w:val="ListParagraph"/>
        <w:numPr>
          <w:ilvl w:val="1"/>
          <w:numId w:val="4"/>
        </w:numPr>
        <w:tabs>
          <w:tab w:val="left" w:pos="1661"/>
        </w:tabs>
        <w:spacing w:line="480" w:lineRule="auto"/>
        <w:ind w:right="337"/>
        <w:jc w:val="both"/>
        <w:rPr>
          <w:sz w:val="25"/>
        </w:rPr>
      </w:pPr>
      <w:r>
        <w:rPr>
          <w:sz w:val="25"/>
        </w:rPr>
        <w:t>Whenever certain parts of the GAs were excluded from the zone of authorisation, the population/household number was proportionally reduced to reflect the population/households as per the reduced area. Examples of t</w:t>
      </w:r>
      <w:r>
        <w:rPr>
          <w:sz w:val="25"/>
        </w:rPr>
        <w:t>he above are Surendranagar (GA-8); and Medchal-Ranga Reddy</w:t>
      </w:r>
      <w:r>
        <w:rPr>
          <w:spacing w:val="-4"/>
          <w:sz w:val="25"/>
        </w:rPr>
        <w:t xml:space="preserve"> </w:t>
      </w:r>
      <w:r>
        <w:rPr>
          <w:sz w:val="25"/>
        </w:rPr>
        <w:t>(GA-72).</w:t>
      </w:r>
    </w:p>
    <w:p w:rsidR="008215AB" w:rsidRDefault="006513FA">
      <w:pPr>
        <w:pStyle w:val="ListParagraph"/>
        <w:numPr>
          <w:ilvl w:val="1"/>
          <w:numId w:val="4"/>
        </w:numPr>
        <w:tabs>
          <w:tab w:val="left" w:pos="1661"/>
        </w:tabs>
        <w:spacing w:before="1"/>
        <w:ind w:right="0" w:hanging="721"/>
        <w:jc w:val="both"/>
        <w:rPr>
          <w:sz w:val="25"/>
        </w:rPr>
      </w:pPr>
      <w:r>
        <w:rPr>
          <w:sz w:val="25"/>
        </w:rPr>
        <w:t>In GA 72, Medchal-Ranga</w:t>
      </w:r>
      <w:r>
        <w:rPr>
          <w:spacing w:val="1"/>
          <w:sz w:val="25"/>
        </w:rPr>
        <w:t xml:space="preserve"> </w:t>
      </w:r>
      <w:r>
        <w:rPr>
          <w:sz w:val="25"/>
        </w:rPr>
        <w:t>Reddy:</w:t>
      </w:r>
    </w:p>
    <w:p w:rsidR="008215AB" w:rsidRDefault="008215AB">
      <w:pPr>
        <w:pStyle w:val="BodyText"/>
        <w:spacing w:before="10"/>
        <w:rPr>
          <w:sz w:val="24"/>
        </w:rPr>
      </w:pPr>
    </w:p>
    <w:p w:rsidR="008215AB" w:rsidRDefault="006513FA">
      <w:pPr>
        <w:pStyle w:val="ListParagraph"/>
        <w:numPr>
          <w:ilvl w:val="2"/>
          <w:numId w:val="4"/>
        </w:numPr>
        <w:tabs>
          <w:tab w:val="left" w:pos="2381"/>
        </w:tabs>
        <w:spacing w:before="1" w:line="480" w:lineRule="auto"/>
        <w:ind w:right="337"/>
        <w:jc w:val="both"/>
        <w:rPr>
          <w:sz w:val="25"/>
        </w:rPr>
      </w:pPr>
      <w:r>
        <w:rPr>
          <w:sz w:val="25"/>
        </w:rPr>
        <w:t>The original map attached to the Bid Document showed the entire district with a corresponding number of households of 13,47,118 according to the 2011 Census;</w:t>
      </w:r>
    </w:p>
    <w:p w:rsidR="008215AB" w:rsidRDefault="006513FA">
      <w:pPr>
        <w:pStyle w:val="ListParagraph"/>
        <w:numPr>
          <w:ilvl w:val="2"/>
          <w:numId w:val="4"/>
        </w:numPr>
        <w:tabs>
          <w:tab w:val="left" w:pos="2381"/>
        </w:tabs>
        <w:spacing w:before="1" w:line="480" w:lineRule="auto"/>
        <w:ind w:right="341"/>
        <w:jc w:val="both"/>
        <w:rPr>
          <w:sz w:val="25"/>
        </w:rPr>
      </w:pPr>
      <w:r>
        <w:rPr>
          <w:sz w:val="25"/>
        </w:rPr>
        <w:t xml:space="preserve">The Bid Document was amended to exclude the area in which an existing entity was already laying a </w:t>
      </w:r>
      <w:r>
        <w:rPr>
          <w:sz w:val="25"/>
        </w:rPr>
        <w:t>CGD network as a result of which not only was the land area reduced but even the number of households was reduced to</w:t>
      </w:r>
      <w:r>
        <w:rPr>
          <w:spacing w:val="-7"/>
          <w:sz w:val="25"/>
        </w:rPr>
        <w:t xml:space="preserve"> </w:t>
      </w:r>
      <w:r>
        <w:rPr>
          <w:sz w:val="25"/>
        </w:rPr>
        <w:t>4,56,557;</w:t>
      </w:r>
    </w:p>
    <w:p w:rsidR="008215AB" w:rsidRDefault="006513FA">
      <w:pPr>
        <w:pStyle w:val="ListParagraph"/>
        <w:numPr>
          <w:ilvl w:val="2"/>
          <w:numId w:val="4"/>
        </w:numPr>
        <w:tabs>
          <w:tab w:val="left" w:pos="2381"/>
        </w:tabs>
        <w:spacing w:line="480" w:lineRule="auto"/>
        <w:ind w:right="334"/>
        <w:jc w:val="both"/>
        <w:rPr>
          <w:sz w:val="25"/>
        </w:rPr>
      </w:pPr>
      <w:r>
        <w:rPr>
          <w:sz w:val="25"/>
        </w:rPr>
        <w:t>Torrent Gas Limited Private Limited, which was the highest bidder for the reduced area had bid 10,05,300 PNG connections, which w</w:t>
      </w:r>
      <w:r>
        <w:rPr>
          <w:sz w:val="25"/>
        </w:rPr>
        <w:t>orked out to 74.6 per cent of the original number of households (13,47,118) and 220 per cent of the reduced number of households</w:t>
      </w:r>
      <w:r>
        <w:rPr>
          <w:spacing w:val="-5"/>
          <w:sz w:val="25"/>
        </w:rPr>
        <w:t xml:space="preserve"> </w:t>
      </w:r>
      <w:r>
        <w:rPr>
          <w:sz w:val="25"/>
        </w:rPr>
        <w:t>(4,56,557);</w:t>
      </w:r>
    </w:p>
    <w:p w:rsidR="008215AB" w:rsidRDefault="006513FA">
      <w:pPr>
        <w:pStyle w:val="ListParagraph"/>
        <w:numPr>
          <w:ilvl w:val="2"/>
          <w:numId w:val="4"/>
        </w:numPr>
        <w:tabs>
          <w:tab w:val="left" w:pos="2381"/>
        </w:tabs>
        <w:spacing w:line="480" w:lineRule="auto"/>
        <w:ind w:right="340"/>
        <w:jc w:val="both"/>
        <w:rPr>
          <w:sz w:val="25"/>
        </w:rPr>
      </w:pPr>
      <w:r>
        <w:rPr>
          <w:sz w:val="25"/>
        </w:rPr>
        <w:t>The Board, at its meeting on 29 August 2018 rejected the H1 bidder for GA 72 on the ground that the bid of 220 per cent of the households was unreasonably high;</w:t>
      </w:r>
      <w:r>
        <w:rPr>
          <w:spacing w:val="-6"/>
          <w:sz w:val="25"/>
        </w:rPr>
        <w:t xml:space="preserve"> </w:t>
      </w:r>
      <w:r>
        <w:rPr>
          <w:sz w:val="25"/>
        </w:rPr>
        <w:t>and</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ListParagraph"/>
        <w:numPr>
          <w:ilvl w:val="2"/>
          <w:numId w:val="4"/>
        </w:numPr>
        <w:tabs>
          <w:tab w:val="left" w:pos="2381"/>
        </w:tabs>
        <w:spacing w:before="78" w:line="480" w:lineRule="auto"/>
        <w:jc w:val="both"/>
        <w:rPr>
          <w:sz w:val="25"/>
        </w:rPr>
      </w:pPr>
      <w:r>
        <w:rPr>
          <w:sz w:val="25"/>
        </w:rPr>
        <w:t>The bid of the H1 bidder for GA 72 was in fact 99 per cent of the estimat</w:t>
      </w:r>
      <w:r>
        <w:rPr>
          <w:sz w:val="25"/>
        </w:rPr>
        <w:t>ed households for 2026 but was yet rejected as the ‗unreasonably high‘ norm was with reference to the 2011 census and not 100 per cent of the 2026 estimate because if it was the latter, the H1 bidder would have been declared to be</w:t>
      </w:r>
      <w:r>
        <w:rPr>
          <w:spacing w:val="-1"/>
          <w:sz w:val="25"/>
        </w:rPr>
        <w:t xml:space="preserve"> </w:t>
      </w:r>
      <w:r>
        <w:rPr>
          <w:sz w:val="25"/>
        </w:rPr>
        <w:t>successful.</w:t>
      </w:r>
    </w:p>
    <w:p w:rsidR="008215AB" w:rsidRDefault="006513FA">
      <w:pPr>
        <w:pStyle w:val="ListParagraph"/>
        <w:numPr>
          <w:ilvl w:val="1"/>
          <w:numId w:val="4"/>
        </w:numPr>
        <w:tabs>
          <w:tab w:val="left" w:pos="1661"/>
        </w:tabs>
        <w:spacing w:before="201" w:line="480" w:lineRule="auto"/>
        <w:ind w:right="338"/>
        <w:jc w:val="both"/>
        <w:rPr>
          <w:sz w:val="25"/>
        </w:rPr>
      </w:pPr>
      <w:r>
        <w:rPr>
          <w:sz w:val="25"/>
        </w:rPr>
        <w:t>The map annex</w:t>
      </w:r>
      <w:r>
        <w:rPr>
          <w:sz w:val="25"/>
        </w:rPr>
        <w:t>ed to the Bid Document depicted not only the land area but also the population/number of households which were intrinsically intertwined in the bid</w:t>
      </w:r>
      <w:r>
        <w:rPr>
          <w:spacing w:val="-4"/>
          <w:sz w:val="25"/>
        </w:rPr>
        <w:t xml:space="preserve"> </w:t>
      </w:r>
      <w:r>
        <w:rPr>
          <w:sz w:val="25"/>
        </w:rPr>
        <w:t>parameters;</w:t>
      </w:r>
    </w:p>
    <w:p w:rsidR="008215AB" w:rsidRDefault="006513FA">
      <w:pPr>
        <w:pStyle w:val="ListParagraph"/>
        <w:numPr>
          <w:ilvl w:val="1"/>
          <w:numId w:val="4"/>
        </w:numPr>
        <w:tabs>
          <w:tab w:val="left" w:pos="1660"/>
          <w:tab w:val="left" w:pos="1661"/>
        </w:tabs>
        <w:spacing w:line="286" w:lineRule="exact"/>
        <w:ind w:right="0" w:hanging="721"/>
        <w:rPr>
          <w:sz w:val="25"/>
        </w:rPr>
      </w:pPr>
      <w:r>
        <w:rPr>
          <w:sz w:val="25"/>
        </w:rPr>
        <w:t>Clause</w:t>
      </w:r>
      <w:r>
        <w:rPr>
          <w:spacing w:val="23"/>
          <w:sz w:val="25"/>
        </w:rPr>
        <w:t xml:space="preserve"> </w:t>
      </w:r>
      <w:r>
        <w:rPr>
          <w:sz w:val="25"/>
        </w:rPr>
        <w:t>1.1.3</w:t>
      </w:r>
      <w:r>
        <w:rPr>
          <w:spacing w:val="24"/>
          <w:sz w:val="25"/>
        </w:rPr>
        <w:t xml:space="preserve"> </w:t>
      </w:r>
      <w:r>
        <w:rPr>
          <w:sz w:val="25"/>
        </w:rPr>
        <w:t>of</w:t>
      </w:r>
      <w:r>
        <w:rPr>
          <w:spacing w:val="23"/>
          <w:sz w:val="25"/>
        </w:rPr>
        <w:t xml:space="preserve"> </w:t>
      </w:r>
      <w:r>
        <w:rPr>
          <w:sz w:val="25"/>
        </w:rPr>
        <w:t>the</w:t>
      </w:r>
      <w:r>
        <w:rPr>
          <w:spacing w:val="29"/>
          <w:sz w:val="25"/>
        </w:rPr>
        <w:t xml:space="preserve"> </w:t>
      </w:r>
      <w:r>
        <w:rPr>
          <w:sz w:val="25"/>
        </w:rPr>
        <w:t>Bid</w:t>
      </w:r>
      <w:r>
        <w:rPr>
          <w:spacing w:val="23"/>
          <w:sz w:val="25"/>
        </w:rPr>
        <w:t xml:space="preserve"> </w:t>
      </w:r>
      <w:r>
        <w:rPr>
          <w:sz w:val="25"/>
        </w:rPr>
        <w:t>Document</w:t>
      </w:r>
      <w:r>
        <w:rPr>
          <w:spacing w:val="24"/>
          <w:sz w:val="25"/>
        </w:rPr>
        <w:t xml:space="preserve"> </w:t>
      </w:r>
      <w:r>
        <w:rPr>
          <w:sz w:val="25"/>
        </w:rPr>
        <w:t>mandated</w:t>
      </w:r>
      <w:r>
        <w:rPr>
          <w:spacing w:val="23"/>
          <w:sz w:val="25"/>
        </w:rPr>
        <w:t xml:space="preserve"> </w:t>
      </w:r>
      <w:r>
        <w:rPr>
          <w:sz w:val="25"/>
        </w:rPr>
        <w:t>bidders</w:t>
      </w:r>
      <w:r>
        <w:rPr>
          <w:spacing w:val="23"/>
          <w:sz w:val="25"/>
        </w:rPr>
        <w:t xml:space="preserve"> </w:t>
      </w:r>
      <w:r>
        <w:rPr>
          <w:sz w:val="25"/>
        </w:rPr>
        <w:t>to</w:t>
      </w:r>
      <w:r>
        <w:rPr>
          <w:spacing w:val="24"/>
          <w:sz w:val="25"/>
        </w:rPr>
        <w:t xml:space="preserve"> </w:t>
      </w:r>
      <w:r>
        <w:rPr>
          <w:sz w:val="25"/>
        </w:rPr>
        <w:t>look</w:t>
      </w:r>
      <w:r>
        <w:rPr>
          <w:spacing w:val="23"/>
          <w:sz w:val="25"/>
        </w:rPr>
        <w:t xml:space="preserve"> </w:t>
      </w:r>
      <w:r>
        <w:rPr>
          <w:sz w:val="25"/>
        </w:rPr>
        <w:t>at</w:t>
      </w:r>
      <w:r>
        <w:rPr>
          <w:spacing w:val="26"/>
          <w:sz w:val="25"/>
        </w:rPr>
        <w:t xml:space="preserve"> </w:t>
      </w:r>
      <w:r>
        <w:rPr>
          <w:sz w:val="25"/>
        </w:rPr>
        <w:t>the</w:t>
      </w:r>
    </w:p>
    <w:p w:rsidR="008215AB" w:rsidRDefault="008215AB">
      <w:pPr>
        <w:pStyle w:val="BodyText"/>
        <w:spacing w:before="1"/>
      </w:pPr>
    </w:p>
    <w:p w:rsidR="008215AB" w:rsidRDefault="006513FA">
      <w:pPr>
        <w:pStyle w:val="BodyText"/>
        <w:spacing w:line="480" w:lineRule="auto"/>
        <w:ind w:left="1660" w:right="336"/>
        <w:jc w:val="both"/>
      </w:pPr>
      <w:r>
        <w:rPr>
          <w:w w:val="33"/>
        </w:rPr>
        <w:t>―</w:t>
      </w:r>
      <w:r>
        <w:rPr>
          <w:w w:val="99"/>
        </w:rPr>
        <w:t>existing</w:t>
      </w:r>
      <w:r>
        <w:t xml:space="preserve">  </w:t>
      </w:r>
      <w:r>
        <w:rPr>
          <w:w w:val="99"/>
        </w:rPr>
        <w:t>population</w:t>
      </w:r>
      <w:r>
        <w:rPr>
          <w:w w:val="80"/>
        </w:rPr>
        <w:t>‖</w:t>
      </w:r>
      <w:r>
        <w:rPr>
          <w:w w:val="99"/>
        </w:rPr>
        <w:t>.</w:t>
      </w:r>
      <w:r>
        <w:t xml:space="preserve">  </w:t>
      </w:r>
      <w:r>
        <w:rPr>
          <w:w w:val="99"/>
        </w:rPr>
        <w:t>Hence</w:t>
      </w:r>
      <w:r>
        <w:rPr>
          <w:w w:val="99"/>
        </w:rPr>
        <w:t>,</w:t>
      </w:r>
      <w:r>
        <w:t xml:space="preserve">  </w:t>
      </w:r>
      <w:r>
        <w:rPr>
          <w:w w:val="99"/>
        </w:rPr>
        <w:t>it</w:t>
      </w:r>
      <w:r>
        <w:t xml:space="preserve">  </w:t>
      </w:r>
      <w:r>
        <w:rPr>
          <w:w w:val="99"/>
        </w:rPr>
        <w:t>is</w:t>
      </w:r>
      <w:r>
        <w:t xml:space="preserve">  </w:t>
      </w:r>
      <w:r>
        <w:rPr>
          <w:w w:val="99"/>
        </w:rPr>
        <w:t>incorrect</w:t>
      </w:r>
      <w:r>
        <w:t xml:space="preserve">  </w:t>
      </w:r>
      <w:r>
        <w:rPr>
          <w:w w:val="99"/>
        </w:rPr>
        <w:t>to</w:t>
      </w:r>
      <w:r>
        <w:t xml:space="preserve">  </w:t>
      </w:r>
      <w:r>
        <w:rPr>
          <w:w w:val="99"/>
        </w:rPr>
        <w:t>suggest</w:t>
      </w:r>
      <w:r>
        <w:t xml:space="preserve">  </w:t>
      </w:r>
      <w:r>
        <w:rPr>
          <w:w w:val="99"/>
        </w:rPr>
        <w:t>that</w:t>
      </w:r>
      <w:r>
        <w:t xml:space="preserve">  </w:t>
      </w:r>
      <w:r>
        <w:rPr>
          <w:w w:val="99"/>
        </w:rPr>
        <w:t xml:space="preserve">the </w:t>
      </w:r>
      <w:r>
        <w:t>bidders had to keep in mind the population in the GAs in 2018. On the contrary, Clause 1.1.1 required bidders to bear in mind the population/households as given in the map annexed to the Bid Document; and</w:t>
      </w:r>
    </w:p>
    <w:p w:rsidR="008215AB" w:rsidRDefault="006513FA">
      <w:pPr>
        <w:pStyle w:val="ListParagraph"/>
        <w:numPr>
          <w:ilvl w:val="1"/>
          <w:numId w:val="4"/>
        </w:numPr>
        <w:tabs>
          <w:tab w:val="left" w:pos="1661"/>
        </w:tabs>
        <w:spacing w:before="1" w:line="480" w:lineRule="auto"/>
        <w:ind w:right="337"/>
        <w:jc w:val="both"/>
        <w:rPr>
          <w:sz w:val="25"/>
        </w:rPr>
      </w:pPr>
      <w:r>
        <w:rPr>
          <w:sz w:val="25"/>
        </w:rPr>
        <w:t>The</w:t>
      </w:r>
      <w:r>
        <w:rPr>
          <w:spacing w:val="-7"/>
          <w:sz w:val="25"/>
        </w:rPr>
        <w:t xml:space="preserve"> </w:t>
      </w:r>
      <w:r>
        <w:rPr>
          <w:sz w:val="25"/>
        </w:rPr>
        <w:t>reference</w:t>
      </w:r>
      <w:r>
        <w:rPr>
          <w:spacing w:val="-7"/>
          <w:sz w:val="25"/>
        </w:rPr>
        <w:t xml:space="preserve"> </w:t>
      </w:r>
      <w:r>
        <w:rPr>
          <w:sz w:val="25"/>
        </w:rPr>
        <w:t>to</w:t>
      </w:r>
      <w:r>
        <w:rPr>
          <w:spacing w:val="-7"/>
          <w:sz w:val="25"/>
        </w:rPr>
        <w:t xml:space="preserve"> </w:t>
      </w:r>
      <w:r>
        <w:rPr>
          <w:sz w:val="25"/>
        </w:rPr>
        <w:t>‗</w:t>
      </w:r>
      <w:r>
        <w:rPr>
          <w:sz w:val="25"/>
        </w:rPr>
        <w:t>charge</w:t>
      </w:r>
      <w:r>
        <w:rPr>
          <w:spacing w:val="-7"/>
          <w:sz w:val="25"/>
        </w:rPr>
        <w:t xml:space="preserve"> </w:t>
      </w:r>
      <w:r>
        <w:rPr>
          <w:sz w:val="25"/>
        </w:rPr>
        <w:t>areas‘</w:t>
      </w:r>
      <w:r>
        <w:rPr>
          <w:spacing w:val="-7"/>
          <w:sz w:val="25"/>
        </w:rPr>
        <w:t xml:space="preserve"> </w:t>
      </w:r>
      <w:r>
        <w:rPr>
          <w:sz w:val="25"/>
        </w:rPr>
        <w:t>in</w:t>
      </w:r>
      <w:r>
        <w:rPr>
          <w:spacing w:val="-1"/>
          <w:sz w:val="25"/>
        </w:rPr>
        <w:t xml:space="preserve"> </w:t>
      </w:r>
      <w:r>
        <w:rPr>
          <w:sz w:val="25"/>
        </w:rPr>
        <w:t>Clause</w:t>
      </w:r>
      <w:r>
        <w:rPr>
          <w:spacing w:val="-5"/>
          <w:sz w:val="25"/>
        </w:rPr>
        <w:t xml:space="preserve"> </w:t>
      </w:r>
      <w:r>
        <w:rPr>
          <w:sz w:val="25"/>
        </w:rPr>
        <w:t>1.1.2</w:t>
      </w:r>
      <w:r>
        <w:rPr>
          <w:spacing w:val="-7"/>
          <w:sz w:val="25"/>
        </w:rPr>
        <w:t xml:space="preserve"> </w:t>
      </w:r>
      <w:r>
        <w:rPr>
          <w:sz w:val="25"/>
        </w:rPr>
        <w:t>of</w:t>
      </w:r>
      <w:r>
        <w:rPr>
          <w:spacing w:val="-7"/>
          <w:sz w:val="25"/>
        </w:rPr>
        <w:t xml:space="preserve"> </w:t>
      </w:r>
      <w:r>
        <w:rPr>
          <w:sz w:val="25"/>
        </w:rPr>
        <w:t>the</w:t>
      </w:r>
      <w:r>
        <w:rPr>
          <w:spacing w:val="-4"/>
          <w:sz w:val="25"/>
        </w:rPr>
        <w:t xml:space="preserve"> </w:t>
      </w:r>
      <w:r>
        <w:rPr>
          <w:sz w:val="25"/>
        </w:rPr>
        <w:t>Bid</w:t>
      </w:r>
      <w:r>
        <w:rPr>
          <w:spacing w:val="-4"/>
          <w:sz w:val="25"/>
        </w:rPr>
        <w:t xml:space="preserve"> </w:t>
      </w:r>
      <w:r>
        <w:rPr>
          <w:sz w:val="25"/>
        </w:rPr>
        <w:t xml:space="preserve">Document means designated sub-areas which are part of the authorised GAs. The designation of ‗charge areas‘ is only to facilitate the Board in determining whether the authorised entity has created its </w:t>
      </w:r>
      <w:r>
        <w:rPr>
          <w:sz w:val="25"/>
        </w:rPr>
        <w:t>network in all the GAs for which it is</w:t>
      </w:r>
      <w:r>
        <w:rPr>
          <w:spacing w:val="-2"/>
          <w:sz w:val="25"/>
        </w:rPr>
        <w:t xml:space="preserve"> </w:t>
      </w:r>
      <w:r>
        <w:rPr>
          <w:sz w:val="25"/>
        </w:rPr>
        <w:t>authorised.</w:t>
      </w:r>
    </w:p>
    <w:p w:rsidR="008215AB" w:rsidRDefault="008215AB">
      <w:pPr>
        <w:pStyle w:val="BodyText"/>
        <w:spacing w:before="10"/>
        <w:rPr>
          <w:sz w:val="24"/>
        </w:rPr>
      </w:pPr>
    </w:p>
    <w:p w:rsidR="008215AB" w:rsidRDefault="006513FA">
      <w:pPr>
        <w:pStyle w:val="ListParagraph"/>
        <w:numPr>
          <w:ilvl w:val="0"/>
          <w:numId w:val="4"/>
        </w:numPr>
        <w:tabs>
          <w:tab w:val="left" w:pos="941"/>
        </w:tabs>
        <w:spacing w:line="480" w:lineRule="auto"/>
        <w:ind w:right="345" w:firstLine="0"/>
        <w:jc w:val="both"/>
        <w:rPr>
          <w:sz w:val="25"/>
        </w:rPr>
      </w:pPr>
      <w:r>
        <w:rPr>
          <w:sz w:val="25"/>
        </w:rPr>
        <w:t>Opposing the above submissions, Mr Paras Kuhad, learned Senior Counsel</w:t>
      </w:r>
      <w:r>
        <w:rPr>
          <w:spacing w:val="34"/>
          <w:sz w:val="25"/>
        </w:rPr>
        <w:t xml:space="preserve"> </w:t>
      </w:r>
      <w:r>
        <w:rPr>
          <w:sz w:val="25"/>
        </w:rPr>
        <w:t>appearing</w:t>
      </w:r>
      <w:r>
        <w:rPr>
          <w:spacing w:val="35"/>
          <w:sz w:val="25"/>
        </w:rPr>
        <w:t xml:space="preserve"> </w:t>
      </w:r>
      <w:r>
        <w:rPr>
          <w:sz w:val="25"/>
        </w:rPr>
        <w:t>on</w:t>
      </w:r>
      <w:r>
        <w:rPr>
          <w:spacing w:val="34"/>
          <w:sz w:val="25"/>
        </w:rPr>
        <w:t xml:space="preserve"> </w:t>
      </w:r>
      <w:r>
        <w:rPr>
          <w:sz w:val="25"/>
        </w:rPr>
        <w:t>behalf</w:t>
      </w:r>
      <w:r>
        <w:rPr>
          <w:spacing w:val="34"/>
          <w:sz w:val="25"/>
        </w:rPr>
        <w:t xml:space="preserve"> </w:t>
      </w:r>
      <w:r>
        <w:rPr>
          <w:sz w:val="25"/>
        </w:rPr>
        <w:t>of</w:t>
      </w:r>
      <w:r>
        <w:rPr>
          <w:spacing w:val="35"/>
          <w:sz w:val="25"/>
        </w:rPr>
        <w:t xml:space="preserve"> </w:t>
      </w:r>
      <w:r>
        <w:rPr>
          <w:sz w:val="25"/>
        </w:rPr>
        <w:t>the</w:t>
      </w:r>
      <w:r>
        <w:rPr>
          <w:spacing w:val="37"/>
          <w:sz w:val="25"/>
        </w:rPr>
        <w:t xml:space="preserve"> </w:t>
      </w:r>
      <w:r>
        <w:rPr>
          <w:sz w:val="25"/>
        </w:rPr>
        <w:t>Board</w:t>
      </w:r>
      <w:r>
        <w:rPr>
          <w:spacing w:val="34"/>
          <w:sz w:val="25"/>
        </w:rPr>
        <w:t xml:space="preserve"> </w:t>
      </w:r>
      <w:r>
        <w:rPr>
          <w:sz w:val="25"/>
        </w:rPr>
        <w:t>submitted</w:t>
      </w:r>
      <w:r>
        <w:rPr>
          <w:spacing w:val="35"/>
          <w:sz w:val="25"/>
        </w:rPr>
        <w:t xml:space="preserve"> </w:t>
      </w:r>
      <w:r>
        <w:rPr>
          <w:sz w:val="25"/>
        </w:rPr>
        <w:t>a</w:t>
      </w:r>
      <w:r>
        <w:rPr>
          <w:spacing w:val="35"/>
          <w:sz w:val="25"/>
        </w:rPr>
        <w:t xml:space="preserve"> </w:t>
      </w:r>
      <w:r>
        <w:rPr>
          <w:sz w:val="25"/>
        </w:rPr>
        <w:t>written</w:t>
      </w:r>
      <w:r>
        <w:rPr>
          <w:spacing w:val="37"/>
          <w:sz w:val="25"/>
        </w:rPr>
        <w:t xml:space="preserve"> </w:t>
      </w:r>
      <w:r>
        <w:rPr>
          <w:sz w:val="25"/>
        </w:rPr>
        <w:t>note,</w:t>
      </w:r>
      <w:r>
        <w:rPr>
          <w:spacing w:val="34"/>
          <w:sz w:val="25"/>
        </w:rPr>
        <w:t xml:space="preserve"> </w:t>
      </w:r>
      <w:r>
        <w:rPr>
          <w:sz w:val="25"/>
        </w:rPr>
        <w:t>explaining</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6"/>
        <w:jc w:val="both"/>
      </w:pPr>
      <w:r>
        <w:t>the amendments that were made to the CGD Authorisation Regulations after they were notified initially on 19 March 2008:</w:t>
      </w:r>
    </w:p>
    <w:p w:rsidR="008215AB" w:rsidRDefault="008215AB">
      <w:pPr>
        <w:pStyle w:val="BodyText"/>
        <w:spacing w:before="9"/>
        <w:rPr>
          <w:sz w:val="24"/>
        </w:rPr>
      </w:pPr>
    </w:p>
    <w:p w:rsidR="008215AB" w:rsidRDefault="006513FA">
      <w:pPr>
        <w:pStyle w:val="Heading1"/>
        <w:numPr>
          <w:ilvl w:val="0"/>
          <w:numId w:val="3"/>
        </w:numPr>
        <w:tabs>
          <w:tab w:val="left" w:pos="940"/>
          <w:tab w:val="left" w:pos="941"/>
        </w:tabs>
        <w:ind w:hanging="721"/>
        <w:rPr>
          <w:b w:val="0"/>
        </w:rPr>
      </w:pPr>
      <w:r>
        <w:t>2008 CGD Authorisation</w:t>
      </w:r>
      <w:r>
        <w:rPr>
          <w:spacing w:val="7"/>
        </w:rPr>
        <w:t xml:space="preserve"> </w:t>
      </w:r>
      <w:r>
        <w:t>Regulations</w:t>
      </w:r>
      <w:r>
        <w:rPr>
          <w:b w:val="0"/>
        </w:rPr>
        <w:t>:</w:t>
      </w:r>
    </w:p>
    <w:p w:rsidR="008215AB" w:rsidRDefault="008215AB">
      <w:pPr>
        <w:pStyle w:val="BodyText"/>
        <w:spacing w:before="7"/>
        <w:rPr>
          <w:sz w:val="37"/>
        </w:rPr>
      </w:pPr>
    </w:p>
    <w:p w:rsidR="008215AB" w:rsidRDefault="006513FA">
      <w:pPr>
        <w:pStyle w:val="BodyText"/>
        <w:spacing w:line="480" w:lineRule="auto"/>
        <w:ind w:left="940" w:right="336"/>
        <w:jc w:val="both"/>
      </w:pPr>
      <w:r>
        <w:t>Regulation 7 of the 2008 CGD Authorisation Regulations prescribed a four- fold criterion for biddi</w:t>
      </w:r>
      <w:r>
        <w:t>ng:</w:t>
      </w:r>
    </w:p>
    <w:p w:rsidR="008215AB" w:rsidRDefault="006513FA">
      <w:pPr>
        <w:pStyle w:val="ListParagraph"/>
        <w:numPr>
          <w:ilvl w:val="1"/>
          <w:numId w:val="3"/>
        </w:numPr>
        <w:tabs>
          <w:tab w:val="left" w:pos="1661"/>
        </w:tabs>
        <w:spacing w:line="480" w:lineRule="auto"/>
        <w:ind w:right="340"/>
        <w:jc w:val="both"/>
        <w:rPr>
          <w:sz w:val="25"/>
        </w:rPr>
      </w:pPr>
      <w:r>
        <w:rPr>
          <w:sz w:val="25"/>
        </w:rPr>
        <w:t>Criteria (a) was the lowness of the present value of the overall unit network tariff with a weightage of 40 per</w:t>
      </w:r>
      <w:r>
        <w:rPr>
          <w:spacing w:val="-8"/>
          <w:sz w:val="25"/>
        </w:rPr>
        <w:t xml:space="preserve"> </w:t>
      </w:r>
      <w:r>
        <w:rPr>
          <w:sz w:val="25"/>
        </w:rPr>
        <w:t>cent;</w:t>
      </w:r>
    </w:p>
    <w:p w:rsidR="008215AB" w:rsidRDefault="006513FA">
      <w:pPr>
        <w:pStyle w:val="ListParagraph"/>
        <w:numPr>
          <w:ilvl w:val="1"/>
          <w:numId w:val="3"/>
        </w:numPr>
        <w:tabs>
          <w:tab w:val="left" w:pos="1661"/>
        </w:tabs>
        <w:spacing w:before="2" w:line="480" w:lineRule="auto"/>
        <w:ind w:right="344"/>
        <w:jc w:val="both"/>
        <w:rPr>
          <w:sz w:val="25"/>
        </w:rPr>
      </w:pPr>
      <w:r>
        <w:rPr>
          <w:sz w:val="25"/>
        </w:rPr>
        <w:t>Criteria (b) prescribed the lowness of the present value of the compression charge for CNG for dispensing in the CNG stations with a weightage of 10 per</w:t>
      </w:r>
      <w:r>
        <w:rPr>
          <w:spacing w:val="-5"/>
          <w:sz w:val="25"/>
        </w:rPr>
        <w:t xml:space="preserve"> </w:t>
      </w:r>
      <w:r>
        <w:rPr>
          <w:sz w:val="25"/>
        </w:rPr>
        <w:t>cent;</w:t>
      </w:r>
    </w:p>
    <w:p w:rsidR="008215AB" w:rsidRDefault="006513FA">
      <w:pPr>
        <w:pStyle w:val="ListParagraph"/>
        <w:numPr>
          <w:ilvl w:val="1"/>
          <w:numId w:val="3"/>
        </w:numPr>
        <w:tabs>
          <w:tab w:val="left" w:pos="1661"/>
        </w:tabs>
        <w:spacing w:line="480" w:lineRule="auto"/>
        <w:ind w:right="334"/>
        <w:jc w:val="both"/>
        <w:rPr>
          <w:sz w:val="25"/>
        </w:rPr>
      </w:pPr>
      <w:r>
        <w:rPr>
          <w:sz w:val="25"/>
        </w:rPr>
        <w:t>Criteria (c) prescribed the highness of the present value of the inch- kilometre of steel pipelin</w:t>
      </w:r>
      <w:r>
        <w:rPr>
          <w:sz w:val="25"/>
        </w:rPr>
        <w:t>es proposed to be laid in the CGD network during the period of exclusivity with a weightage of 20 per cent;</w:t>
      </w:r>
      <w:r>
        <w:rPr>
          <w:spacing w:val="-10"/>
          <w:sz w:val="25"/>
        </w:rPr>
        <w:t xml:space="preserve"> </w:t>
      </w:r>
      <w:r>
        <w:rPr>
          <w:sz w:val="25"/>
        </w:rPr>
        <w:t>and</w:t>
      </w:r>
    </w:p>
    <w:p w:rsidR="008215AB" w:rsidRDefault="006513FA">
      <w:pPr>
        <w:pStyle w:val="ListParagraph"/>
        <w:numPr>
          <w:ilvl w:val="1"/>
          <w:numId w:val="3"/>
        </w:numPr>
        <w:tabs>
          <w:tab w:val="left" w:pos="1661"/>
        </w:tabs>
        <w:spacing w:line="480" w:lineRule="auto"/>
        <w:ind w:right="339"/>
        <w:jc w:val="both"/>
        <w:rPr>
          <w:sz w:val="25"/>
        </w:rPr>
      </w:pPr>
      <w:r>
        <w:rPr>
          <w:sz w:val="25"/>
        </w:rPr>
        <w:t>Criteria (d) prescribed the highness of the present value of the number of domestic customers proposed to be connected by PNG with a weightage o</w:t>
      </w:r>
      <w:r>
        <w:rPr>
          <w:sz w:val="25"/>
        </w:rPr>
        <w:t>f 30 per</w:t>
      </w:r>
      <w:r>
        <w:rPr>
          <w:spacing w:val="-5"/>
          <w:sz w:val="25"/>
        </w:rPr>
        <w:t xml:space="preserve"> </w:t>
      </w:r>
      <w:r>
        <w:rPr>
          <w:sz w:val="25"/>
        </w:rPr>
        <w:t>cent.</w:t>
      </w:r>
    </w:p>
    <w:p w:rsidR="008215AB" w:rsidRDefault="006513FA">
      <w:pPr>
        <w:pStyle w:val="BodyText"/>
        <w:spacing w:before="200" w:line="480" w:lineRule="auto"/>
        <w:ind w:left="220" w:right="343"/>
        <w:jc w:val="both"/>
      </w:pPr>
      <w:r>
        <w:t>Under the Regulations, no upper or lower ceiling was provided for bidding in respect of the Criteria (a) to (d) of Regulation 7.</w:t>
      </w:r>
    </w:p>
    <w:p w:rsidR="008215AB" w:rsidRDefault="006513FA">
      <w:pPr>
        <w:pStyle w:val="Heading1"/>
        <w:numPr>
          <w:ilvl w:val="0"/>
          <w:numId w:val="3"/>
        </w:numPr>
        <w:tabs>
          <w:tab w:val="left" w:pos="940"/>
          <w:tab w:val="left" w:pos="941"/>
        </w:tabs>
        <w:spacing w:line="285" w:lineRule="exact"/>
        <w:ind w:hanging="721"/>
        <w:rPr>
          <w:b w:val="0"/>
        </w:rPr>
      </w:pPr>
      <w:r>
        <w:t>2013 Amendment to the CGD Authorisation</w:t>
      </w:r>
      <w:r>
        <w:rPr>
          <w:spacing w:val="5"/>
        </w:rPr>
        <w:t xml:space="preserve"> </w:t>
      </w:r>
      <w:r>
        <w:t>Regulations</w:t>
      </w:r>
      <w:r>
        <w:rPr>
          <w:b w:val="0"/>
          <w:vertAlign w:val="superscript"/>
        </w:rPr>
        <w:t>13</w:t>
      </w:r>
      <w:r>
        <w:rPr>
          <w:b w:val="0"/>
        </w:rPr>
        <w:t>:</w:t>
      </w:r>
    </w:p>
    <w:p w:rsidR="008215AB" w:rsidRDefault="008215AB">
      <w:pPr>
        <w:pStyle w:val="BodyText"/>
        <w:spacing w:before="10"/>
        <w:rPr>
          <w:sz w:val="37"/>
        </w:rPr>
      </w:pPr>
    </w:p>
    <w:p w:rsidR="008215AB" w:rsidRDefault="006513FA">
      <w:pPr>
        <w:pStyle w:val="ListParagraph"/>
        <w:numPr>
          <w:ilvl w:val="1"/>
          <w:numId w:val="3"/>
        </w:numPr>
        <w:tabs>
          <w:tab w:val="left" w:pos="1661"/>
        </w:tabs>
        <w:spacing w:line="480" w:lineRule="auto"/>
        <w:ind w:right="344"/>
        <w:jc w:val="both"/>
        <w:rPr>
          <w:sz w:val="25"/>
        </w:rPr>
      </w:pPr>
      <w:r>
        <w:rPr>
          <w:sz w:val="25"/>
        </w:rPr>
        <w:t>The 2013 amendment amended criteria (a) and (b) and substituted bidding criteria (c) and (d) with criteria</w:t>
      </w:r>
      <w:r>
        <w:rPr>
          <w:spacing w:val="-5"/>
          <w:sz w:val="25"/>
        </w:rPr>
        <w:t xml:space="preserve"> </w:t>
      </w:r>
      <w:r>
        <w:rPr>
          <w:sz w:val="25"/>
        </w:rPr>
        <w:t>(c);</w:t>
      </w:r>
    </w:p>
    <w:p w:rsidR="008215AB" w:rsidRDefault="008215AB">
      <w:pPr>
        <w:pStyle w:val="BodyText"/>
        <w:rPr>
          <w:sz w:val="20"/>
        </w:rPr>
      </w:pPr>
    </w:p>
    <w:p w:rsidR="008215AB" w:rsidRDefault="008215AB">
      <w:pPr>
        <w:pStyle w:val="BodyText"/>
        <w:rPr>
          <w:sz w:val="20"/>
        </w:rPr>
      </w:pPr>
    </w:p>
    <w:p w:rsidR="008215AB" w:rsidRDefault="008215AB">
      <w:pPr>
        <w:pStyle w:val="BodyText"/>
        <w:spacing w:before="9"/>
        <w:rPr>
          <w:sz w:val="24"/>
        </w:rPr>
      </w:pPr>
      <w:r w:rsidRPr="008215AB">
        <w:pict>
          <v:rect id="_x0000_s2053" style="position:absolute;margin-left:1in;margin-top:16.2pt;width:2in;height:.6pt;z-index:-15724544;mso-wrap-distance-left:0;mso-wrap-distance-right:0;mso-position-horizontal-relative:page" fillcolor="black" stroked="f">
            <w10:wrap type="topAndBottom" anchorx="page"/>
          </v:rect>
        </w:pict>
      </w:r>
    </w:p>
    <w:p w:rsidR="008215AB" w:rsidRDefault="006513FA">
      <w:pPr>
        <w:spacing w:before="80"/>
        <w:ind w:left="220"/>
        <w:rPr>
          <w:sz w:val="18"/>
        </w:rPr>
      </w:pPr>
      <w:r>
        <w:rPr>
          <w:sz w:val="18"/>
          <w:vertAlign w:val="superscript"/>
        </w:rPr>
        <w:t>13</w:t>
      </w:r>
      <w:r>
        <w:rPr>
          <w:sz w:val="18"/>
        </w:rPr>
        <w:t xml:space="preserve"> 21 June 2013</w:t>
      </w:r>
    </w:p>
    <w:p w:rsidR="008215AB" w:rsidRDefault="008215AB">
      <w:pPr>
        <w:rPr>
          <w:sz w:val="18"/>
        </w:rPr>
        <w:sectPr w:rsidR="008215AB">
          <w:pgSz w:w="11910" w:h="16840"/>
          <w:pgMar w:top="1340" w:right="1100" w:bottom="1220" w:left="1220" w:header="0" w:footer="1034" w:gutter="0"/>
          <w:cols w:space="720"/>
        </w:sectPr>
      </w:pPr>
    </w:p>
    <w:p w:rsidR="008215AB" w:rsidRDefault="006513FA">
      <w:pPr>
        <w:pStyle w:val="ListParagraph"/>
        <w:numPr>
          <w:ilvl w:val="1"/>
          <w:numId w:val="3"/>
        </w:numPr>
        <w:tabs>
          <w:tab w:val="left" w:pos="1661"/>
        </w:tabs>
        <w:spacing w:before="78" w:line="480" w:lineRule="auto"/>
        <w:jc w:val="both"/>
        <w:rPr>
          <w:sz w:val="25"/>
        </w:rPr>
      </w:pPr>
      <w:r>
        <w:rPr>
          <w:sz w:val="25"/>
        </w:rPr>
        <w:t>The successful bidder was required to achieve a Minimum Work Programme</w:t>
      </w:r>
      <w:r>
        <w:rPr>
          <w:sz w:val="25"/>
          <w:vertAlign w:val="superscript"/>
        </w:rPr>
        <w:t>14</w:t>
      </w:r>
      <w:r>
        <w:rPr>
          <w:sz w:val="25"/>
        </w:rPr>
        <w:t xml:space="preserve"> in respect of the PNG domestic co</w:t>
      </w:r>
      <w:r>
        <w:rPr>
          <w:sz w:val="25"/>
        </w:rPr>
        <w:t>nnections and inch- kilometres of steel</w:t>
      </w:r>
      <w:r>
        <w:rPr>
          <w:spacing w:val="-1"/>
          <w:sz w:val="25"/>
        </w:rPr>
        <w:t xml:space="preserve"> </w:t>
      </w:r>
      <w:r>
        <w:rPr>
          <w:sz w:val="25"/>
        </w:rPr>
        <w:t>pipeline;</w:t>
      </w:r>
    </w:p>
    <w:p w:rsidR="008215AB" w:rsidRDefault="006513FA">
      <w:pPr>
        <w:pStyle w:val="ListParagraph"/>
        <w:numPr>
          <w:ilvl w:val="1"/>
          <w:numId w:val="3"/>
        </w:numPr>
        <w:tabs>
          <w:tab w:val="left" w:pos="1661"/>
        </w:tabs>
        <w:spacing w:line="480" w:lineRule="auto"/>
        <w:jc w:val="both"/>
        <w:rPr>
          <w:sz w:val="25"/>
        </w:rPr>
      </w:pPr>
      <w:r>
        <w:rPr>
          <w:sz w:val="25"/>
        </w:rPr>
        <w:t>The minimum number of PNG domestic connections to be achieved within the first five years of authorisation was to be worked out by the Board. This was based on the total number of households to be calculate</w:t>
      </w:r>
      <w:r>
        <w:rPr>
          <w:sz w:val="25"/>
        </w:rPr>
        <w:t>d as per the basic data sheet of the respective districts of the GA and the population according to the latest census</w:t>
      </w:r>
      <w:r>
        <w:rPr>
          <w:spacing w:val="-13"/>
          <w:sz w:val="25"/>
        </w:rPr>
        <w:t xml:space="preserve"> </w:t>
      </w:r>
      <w:r>
        <w:rPr>
          <w:sz w:val="25"/>
        </w:rPr>
        <w:t>data;</w:t>
      </w:r>
    </w:p>
    <w:p w:rsidR="008215AB" w:rsidRDefault="006513FA">
      <w:pPr>
        <w:pStyle w:val="ListParagraph"/>
        <w:numPr>
          <w:ilvl w:val="1"/>
          <w:numId w:val="3"/>
        </w:numPr>
        <w:tabs>
          <w:tab w:val="left" w:pos="1661"/>
        </w:tabs>
        <w:spacing w:before="1" w:line="480" w:lineRule="auto"/>
        <w:ind w:right="335"/>
        <w:jc w:val="both"/>
        <w:rPr>
          <w:sz w:val="25"/>
        </w:rPr>
      </w:pPr>
      <w:r>
        <w:rPr>
          <w:sz w:val="25"/>
        </w:rPr>
        <w:t>The weightage of bidding was shifted to 70 per cent for criteria (a) and 30 per cent for criteria (b). No weightage was given to PNG</w:t>
      </w:r>
      <w:r>
        <w:rPr>
          <w:sz w:val="25"/>
        </w:rPr>
        <w:t xml:space="preserve"> domestic connections and inch-kilometres of pipeline;</w:t>
      </w:r>
      <w:r>
        <w:rPr>
          <w:spacing w:val="-6"/>
          <w:sz w:val="25"/>
        </w:rPr>
        <w:t xml:space="preserve"> </w:t>
      </w:r>
      <w:r>
        <w:rPr>
          <w:sz w:val="25"/>
        </w:rPr>
        <w:t>and</w:t>
      </w:r>
    </w:p>
    <w:p w:rsidR="008215AB" w:rsidRDefault="006513FA">
      <w:pPr>
        <w:pStyle w:val="ListParagraph"/>
        <w:numPr>
          <w:ilvl w:val="1"/>
          <w:numId w:val="3"/>
        </w:numPr>
        <w:tabs>
          <w:tab w:val="left" w:pos="1661"/>
        </w:tabs>
        <w:spacing w:line="480" w:lineRule="auto"/>
        <w:ind w:right="344"/>
        <w:jc w:val="both"/>
        <w:rPr>
          <w:sz w:val="25"/>
        </w:rPr>
      </w:pPr>
      <w:r>
        <w:rPr>
          <w:sz w:val="25"/>
        </w:rPr>
        <w:t>The successful bidder was to achieve a target of 15 per cent by the second year, 50 per cent by the third year, seventy per cent by the fourth year and 100 per cent by the fifth</w:t>
      </w:r>
      <w:r>
        <w:rPr>
          <w:spacing w:val="-8"/>
          <w:sz w:val="25"/>
        </w:rPr>
        <w:t xml:space="preserve"> </w:t>
      </w:r>
      <w:r>
        <w:rPr>
          <w:sz w:val="25"/>
        </w:rPr>
        <w:t>year.</w:t>
      </w:r>
    </w:p>
    <w:p w:rsidR="008215AB" w:rsidRDefault="008215AB">
      <w:pPr>
        <w:pStyle w:val="BodyText"/>
        <w:rPr>
          <w:sz w:val="28"/>
        </w:rPr>
      </w:pPr>
    </w:p>
    <w:p w:rsidR="008215AB" w:rsidRDefault="006513FA">
      <w:pPr>
        <w:pStyle w:val="Heading1"/>
        <w:numPr>
          <w:ilvl w:val="0"/>
          <w:numId w:val="3"/>
        </w:numPr>
        <w:tabs>
          <w:tab w:val="left" w:pos="719"/>
          <w:tab w:val="left" w:pos="941"/>
        </w:tabs>
        <w:spacing w:before="163"/>
        <w:ind w:right="1757" w:hanging="941"/>
        <w:jc w:val="right"/>
        <w:rPr>
          <w:b w:val="0"/>
        </w:rPr>
      </w:pPr>
      <w:r>
        <w:t>2014 Amendment to the CGD Authorisation</w:t>
      </w:r>
      <w:r>
        <w:rPr>
          <w:spacing w:val="-17"/>
        </w:rPr>
        <w:t xml:space="preserve"> </w:t>
      </w:r>
      <w:r>
        <w:t>Regulations</w:t>
      </w:r>
      <w:r>
        <w:rPr>
          <w:b w:val="0"/>
          <w:vertAlign w:val="superscript"/>
        </w:rPr>
        <w:t>15</w:t>
      </w:r>
      <w:r>
        <w:rPr>
          <w:b w:val="0"/>
        </w:rPr>
        <w:t>:</w:t>
      </w:r>
    </w:p>
    <w:p w:rsidR="008215AB" w:rsidRDefault="008215AB">
      <w:pPr>
        <w:pStyle w:val="BodyText"/>
        <w:spacing w:before="7"/>
        <w:rPr>
          <w:sz w:val="37"/>
        </w:rPr>
      </w:pPr>
    </w:p>
    <w:p w:rsidR="008215AB" w:rsidRDefault="006513FA">
      <w:pPr>
        <w:pStyle w:val="ListParagraph"/>
        <w:numPr>
          <w:ilvl w:val="1"/>
          <w:numId w:val="3"/>
        </w:numPr>
        <w:tabs>
          <w:tab w:val="left" w:pos="719"/>
          <w:tab w:val="left" w:pos="720"/>
        </w:tabs>
        <w:ind w:right="1661" w:hanging="1661"/>
        <w:jc w:val="right"/>
        <w:rPr>
          <w:sz w:val="25"/>
        </w:rPr>
      </w:pPr>
      <w:r>
        <w:rPr>
          <w:sz w:val="25"/>
        </w:rPr>
        <w:t>The 2014 amendment substituted criteria (c) once</w:t>
      </w:r>
      <w:r>
        <w:rPr>
          <w:spacing w:val="-18"/>
          <w:sz w:val="25"/>
        </w:rPr>
        <w:t xml:space="preserve"> </w:t>
      </w:r>
      <w:r>
        <w:rPr>
          <w:sz w:val="25"/>
        </w:rPr>
        <w:t>again;</w:t>
      </w:r>
    </w:p>
    <w:p w:rsidR="008215AB" w:rsidRDefault="008215AB">
      <w:pPr>
        <w:pStyle w:val="BodyText"/>
        <w:spacing w:before="1"/>
      </w:pPr>
    </w:p>
    <w:p w:rsidR="008215AB" w:rsidRDefault="006513FA">
      <w:pPr>
        <w:pStyle w:val="ListParagraph"/>
        <w:numPr>
          <w:ilvl w:val="1"/>
          <w:numId w:val="3"/>
        </w:numPr>
        <w:tabs>
          <w:tab w:val="left" w:pos="1661"/>
        </w:tabs>
        <w:spacing w:line="480" w:lineRule="auto"/>
        <w:ind w:right="339"/>
        <w:jc w:val="both"/>
        <w:rPr>
          <w:sz w:val="25"/>
        </w:rPr>
      </w:pPr>
      <w:r>
        <w:rPr>
          <w:sz w:val="25"/>
        </w:rPr>
        <w:t>Under the 2014 amendment, the Board was to work out the target for infrastructure for PNG domestic connections as 5 per cent of the households of the respective GAs to be achieved by the successful bidder during the first five years from the grant of autho</w:t>
      </w:r>
      <w:r>
        <w:rPr>
          <w:sz w:val="25"/>
        </w:rPr>
        <w:t>risation;</w:t>
      </w:r>
      <w:r>
        <w:rPr>
          <w:spacing w:val="-23"/>
          <w:sz w:val="25"/>
        </w:rPr>
        <w:t xml:space="preserve"> </w:t>
      </w:r>
      <w:r>
        <w:rPr>
          <w:sz w:val="25"/>
        </w:rPr>
        <w:t>and</w:t>
      </w:r>
    </w:p>
    <w:p w:rsidR="008215AB" w:rsidRDefault="006513FA">
      <w:pPr>
        <w:pStyle w:val="ListParagraph"/>
        <w:numPr>
          <w:ilvl w:val="1"/>
          <w:numId w:val="3"/>
        </w:numPr>
        <w:tabs>
          <w:tab w:val="left" w:pos="1661"/>
        </w:tabs>
        <w:spacing w:line="480" w:lineRule="auto"/>
        <w:ind w:right="338"/>
        <w:jc w:val="both"/>
        <w:rPr>
          <w:sz w:val="25"/>
        </w:rPr>
      </w:pPr>
      <w:r>
        <w:rPr>
          <w:sz w:val="25"/>
        </w:rPr>
        <w:t>No weightage was given to criteria (c) – PNG domestic connections and</w:t>
      </w:r>
      <w:r>
        <w:rPr>
          <w:spacing w:val="-2"/>
          <w:sz w:val="25"/>
        </w:rPr>
        <w:t xml:space="preserve"> </w:t>
      </w:r>
      <w:r>
        <w:rPr>
          <w:sz w:val="25"/>
        </w:rPr>
        <w:t>inch-kilometres.</w:t>
      </w:r>
    </w:p>
    <w:p w:rsidR="008215AB" w:rsidRDefault="008215AB">
      <w:pPr>
        <w:pStyle w:val="BodyText"/>
        <w:spacing w:before="5"/>
        <w:rPr>
          <w:sz w:val="9"/>
        </w:rPr>
      </w:pPr>
      <w:r w:rsidRPr="008215AB">
        <w:pict>
          <v:rect id="_x0000_s2052" style="position:absolute;margin-left:1in;margin-top:7.4pt;width:2in;height:.6pt;z-index:-15724032;mso-wrap-distance-left:0;mso-wrap-distance-right:0;mso-position-horizontal-relative:page" fillcolor="black" stroked="f">
            <w10:wrap type="topAndBottom" anchorx="page"/>
          </v:rect>
        </w:pict>
      </w:r>
    </w:p>
    <w:p w:rsidR="008215AB" w:rsidRDefault="006513FA">
      <w:pPr>
        <w:spacing w:before="78"/>
        <w:ind w:left="220"/>
        <w:rPr>
          <w:sz w:val="18"/>
        </w:rPr>
      </w:pPr>
      <w:r>
        <w:rPr>
          <w:sz w:val="18"/>
          <w:vertAlign w:val="superscript"/>
        </w:rPr>
        <w:t>14</w:t>
      </w:r>
      <w:r>
        <w:rPr>
          <w:sz w:val="18"/>
        </w:rPr>
        <w:t xml:space="preserve"> ―MWP‖</w:t>
      </w:r>
    </w:p>
    <w:p w:rsidR="008215AB" w:rsidRDefault="008215AB">
      <w:pPr>
        <w:rPr>
          <w:sz w:val="18"/>
        </w:rPr>
        <w:sectPr w:rsidR="008215AB">
          <w:footerReference w:type="default" r:id="rId14"/>
          <w:pgSz w:w="11910" w:h="16840"/>
          <w:pgMar w:top="1340" w:right="1100" w:bottom="1560" w:left="1220" w:header="0" w:footer="1367" w:gutter="0"/>
          <w:pgNumType w:start="15"/>
          <w:cols w:space="720"/>
        </w:sectPr>
      </w:pPr>
    </w:p>
    <w:p w:rsidR="008215AB" w:rsidRDefault="006513FA">
      <w:pPr>
        <w:pStyle w:val="ListParagraph"/>
        <w:numPr>
          <w:ilvl w:val="0"/>
          <w:numId w:val="3"/>
        </w:numPr>
        <w:tabs>
          <w:tab w:val="left" w:pos="941"/>
        </w:tabs>
        <w:spacing w:before="75" w:line="480" w:lineRule="auto"/>
        <w:ind w:left="220" w:right="338" w:firstLine="0"/>
        <w:jc w:val="both"/>
        <w:rPr>
          <w:sz w:val="25"/>
        </w:rPr>
      </w:pPr>
      <w:r>
        <w:rPr>
          <w:sz w:val="25"/>
        </w:rPr>
        <w:t xml:space="preserve">On 16 August 2016, the Ministry of Petroleum and Natural Gas constituted a committee to examine alternative models for the bidding criteria to grant authorisation for CGD networks. The committee in its report recommended a MWP for PNG domestic connections </w:t>
      </w:r>
      <w:r>
        <w:rPr>
          <w:sz w:val="25"/>
        </w:rPr>
        <w:t>at 7.5 per cent, within district headquarters/municipal limits. Prior to the ninth round, the MWP was fixed at 5 per cent of the total</w:t>
      </w:r>
      <w:r>
        <w:rPr>
          <w:spacing w:val="-5"/>
          <w:sz w:val="25"/>
        </w:rPr>
        <w:t xml:space="preserve"> </w:t>
      </w:r>
      <w:r>
        <w:rPr>
          <w:sz w:val="25"/>
        </w:rPr>
        <w:t>households.</w:t>
      </w:r>
    </w:p>
    <w:p w:rsidR="008215AB" w:rsidRDefault="006513FA">
      <w:pPr>
        <w:pStyle w:val="Heading1"/>
        <w:numPr>
          <w:ilvl w:val="0"/>
          <w:numId w:val="3"/>
        </w:numPr>
        <w:tabs>
          <w:tab w:val="left" w:pos="941"/>
        </w:tabs>
        <w:spacing w:line="287" w:lineRule="exact"/>
        <w:ind w:hanging="721"/>
        <w:jc w:val="both"/>
        <w:rPr>
          <w:b w:val="0"/>
        </w:rPr>
      </w:pPr>
      <w:r>
        <w:t>2018 Amendment to the CGD Authorisation</w:t>
      </w:r>
      <w:r>
        <w:rPr>
          <w:spacing w:val="6"/>
        </w:rPr>
        <w:t xml:space="preserve"> </w:t>
      </w:r>
      <w:r>
        <w:t>Regulations</w:t>
      </w:r>
      <w:r>
        <w:rPr>
          <w:b w:val="0"/>
          <w:vertAlign w:val="superscript"/>
        </w:rPr>
        <w:t>16</w:t>
      </w:r>
      <w:r>
        <w:rPr>
          <w:b w:val="0"/>
        </w:rPr>
        <w:t>:</w:t>
      </w:r>
    </w:p>
    <w:p w:rsidR="008215AB" w:rsidRDefault="008215AB">
      <w:pPr>
        <w:pStyle w:val="BodyText"/>
        <w:spacing w:before="9"/>
        <w:rPr>
          <w:sz w:val="37"/>
        </w:rPr>
      </w:pPr>
    </w:p>
    <w:p w:rsidR="008215AB" w:rsidRDefault="006513FA">
      <w:pPr>
        <w:pStyle w:val="ListParagraph"/>
        <w:numPr>
          <w:ilvl w:val="1"/>
          <w:numId w:val="3"/>
        </w:numPr>
        <w:tabs>
          <w:tab w:val="left" w:pos="1661"/>
        </w:tabs>
        <w:spacing w:before="1" w:line="480" w:lineRule="auto"/>
        <w:jc w:val="both"/>
        <w:rPr>
          <w:sz w:val="25"/>
        </w:rPr>
      </w:pPr>
      <w:r>
        <w:rPr>
          <w:sz w:val="25"/>
        </w:rPr>
        <w:t>The 2018 amendment substituted new criteria for bidding applicable to the ninth round. The present batch of appeals deals with the ninth round of bidding;</w:t>
      </w:r>
      <w:r>
        <w:rPr>
          <w:spacing w:val="-2"/>
          <w:sz w:val="25"/>
        </w:rPr>
        <w:t xml:space="preserve"> </w:t>
      </w:r>
      <w:r>
        <w:rPr>
          <w:sz w:val="25"/>
        </w:rPr>
        <w:t>and</w:t>
      </w:r>
    </w:p>
    <w:p w:rsidR="008215AB" w:rsidRDefault="006513FA">
      <w:pPr>
        <w:pStyle w:val="ListParagraph"/>
        <w:numPr>
          <w:ilvl w:val="1"/>
          <w:numId w:val="3"/>
        </w:numPr>
        <w:tabs>
          <w:tab w:val="left" w:pos="1661"/>
        </w:tabs>
        <w:ind w:right="0" w:hanging="721"/>
        <w:jc w:val="both"/>
        <w:rPr>
          <w:sz w:val="25"/>
        </w:rPr>
      </w:pPr>
      <w:r>
        <w:rPr>
          <w:sz w:val="25"/>
        </w:rPr>
        <w:t>Under the new criteria applicable to the ninth round of CGD bidding,</w:t>
      </w:r>
    </w:p>
    <w:p w:rsidR="008215AB" w:rsidRDefault="008215AB">
      <w:pPr>
        <w:pStyle w:val="BodyText"/>
        <w:spacing w:before="10"/>
        <w:rPr>
          <w:sz w:val="24"/>
        </w:rPr>
      </w:pPr>
    </w:p>
    <w:p w:rsidR="008215AB" w:rsidRDefault="006513FA">
      <w:pPr>
        <w:pStyle w:val="BodyText"/>
        <w:spacing w:before="1"/>
        <w:ind w:left="1660"/>
      </w:pPr>
      <w:r>
        <w:t>50 per cent weightage was g</w:t>
      </w:r>
      <w:r>
        <w:t>iven to PNG domestic connections.</w:t>
      </w:r>
    </w:p>
    <w:p w:rsidR="008215AB" w:rsidRDefault="008215AB">
      <w:pPr>
        <w:pStyle w:val="BodyText"/>
        <w:spacing w:before="1"/>
      </w:pPr>
    </w:p>
    <w:p w:rsidR="008215AB" w:rsidRDefault="006513FA">
      <w:pPr>
        <w:pStyle w:val="BodyText"/>
        <w:spacing w:line="480" w:lineRule="auto"/>
        <w:ind w:left="1660" w:right="364"/>
      </w:pPr>
      <w:r>
        <w:t>Moreover, no minimum or maximum limits were set for PNG domestic connections in the 2018 amendment.</w:t>
      </w:r>
    </w:p>
    <w:p w:rsidR="008215AB" w:rsidRDefault="008215AB">
      <w:pPr>
        <w:pStyle w:val="BodyText"/>
      </w:pPr>
    </w:p>
    <w:p w:rsidR="008215AB" w:rsidRDefault="006513FA">
      <w:pPr>
        <w:pStyle w:val="BodyText"/>
        <w:spacing w:line="480" w:lineRule="auto"/>
        <w:ind w:left="220" w:right="337"/>
        <w:jc w:val="both"/>
      </w:pPr>
      <w:r>
        <w:t>Responding to the appellant‘s submissions on the binding nature of the Board Note dated 23 July 2018 and the legality of</w:t>
      </w:r>
      <w:r>
        <w:t xml:space="preserve"> the Board‘s decision to hear only the highest bidder, Mr Paras Kuhad urged that:</w:t>
      </w:r>
    </w:p>
    <w:p w:rsidR="008215AB" w:rsidRDefault="006513FA">
      <w:pPr>
        <w:pStyle w:val="ListParagraph"/>
        <w:numPr>
          <w:ilvl w:val="0"/>
          <w:numId w:val="2"/>
        </w:numPr>
        <w:tabs>
          <w:tab w:val="left" w:pos="1661"/>
        </w:tabs>
        <w:spacing w:line="480" w:lineRule="auto"/>
        <w:jc w:val="both"/>
        <w:rPr>
          <w:sz w:val="25"/>
        </w:rPr>
      </w:pPr>
      <w:r>
        <w:rPr>
          <w:sz w:val="25"/>
        </w:rPr>
        <w:t>The agenda note dated 9 August 2018 is not binding on the Board as it clearly states that the contents of the agenda note are subject to the deliberations and approval of the</w:t>
      </w:r>
      <w:r>
        <w:rPr>
          <w:spacing w:val="-6"/>
          <w:sz w:val="25"/>
        </w:rPr>
        <w:t xml:space="preserve"> </w:t>
      </w:r>
      <w:r>
        <w:rPr>
          <w:sz w:val="25"/>
        </w:rPr>
        <w:t>Board;</w:t>
      </w:r>
    </w:p>
    <w:p w:rsidR="008215AB" w:rsidRDefault="006513FA">
      <w:pPr>
        <w:pStyle w:val="ListParagraph"/>
        <w:numPr>
          <w:ilvl w:val="0"/>
          <w:numId w:val="2"/>
        </w:numPr>
        <w:tabs>
          <w:tab w:val="left" w:pos="1661"/>
        </w:tabs>
        <w:spacing w:line="480" w:lineRule="auto"/>
        <w:jc w:val="both"/>
        <w:rPr>
          <w:sz w:val="25"/>
        </w:rPr>
      </w:pPr>
      <w:r>
        <w:rPr>
          <w:sz w:val="25"/>
        </w:rPr>
        <w:t>Regulation 7 sets out five parameters on which the bids are to be evaluated.</w:t>
      </w:r>
      <w:r>
        <w:rPr>
          <w:spacing w:val="20"/>
          <w:sz w:val="25"/>
        </w:rPr>
        <w:t xml:space="preserve"> </w:t>
      </w:r>
      <w:r>
        <w:rPr>
          <w:sz w:val="25"/>
        </w:rPr>
        <w:t>Once</w:t>
      </w:r>
      <w:r>
        <w:rPr>
          <w:spacing w:val="20"/>
          <w:sz w:val="25"/>
        </w:rPr>
        <w:t xml:space="preserve"> </w:t>
      </w:r>
      <w:r>
        <w:rPr>
          <w:sz w:val="25"/>
        </w:rPr>
        <w:t>a</w:t>
      </w:r>
      <w:r>
        <w:rPr>
          <w:spacing w:val="20"/>
          <w:sz w:val="25"/>
        </w:rPr>
        <w:t xml:space="preserve"> </w:t>
      </w:r>
      <w:r>
        <w:rPr>
          <w:sz w:val="25"/>
        </w:rPr>
        <w:t>bidder</w:t>
      </w:r>
      <w:r>
        <w:rPr>
          <w:spacing w:val="22"/>
          <w:sz w:val="25"/>
        </w:rPr>
        <w:t xml:space="preserve"> </w:t>
      </w:r>
      <w:r>
        <w:rPr>
          <w:sz w:val="25"/>
        </w:rPr>
        <w:t>fulfils</w:t>
      </w:r>
      <w:r>
        <w:rPr>
          <w:spacing w:val="20"/>
          <w:sz w:val="25"/>
        </w:rPr>
        <w:t xml:space="preserve"> </w:t>
      </w:r>
      <w:r>
        <w:rPr>
          <w:sz w:val="25"/>
        </w:rPr>
        <w:t>the</w:t>
      </w:r>
      <w:r>
        <w:rPr>
          <w:spacing w:val="21"/>
          <w:sz w:val="25"/>
        </w:rPr>
        <w:t xml:space="preserve"> </w:t>
      </w:r>
      <w:r>
        <w:rPr>
          <w:sz w:val="25"/>
        </w:rPr>
        <w:t>criteria</w:t>
      </w:r>
      <w:r>
        <w:rPr>
          <w:spacing w:val="19"/>
          <w:sz w:val="25"/>
        </w:rPr>
        <w:t xml:space="preserve"> </w:t>
      </w:r>
      <w:r>
        <w:rPr>
          <w:sz w:val="25"/>
        </w:rPr>
        <w:t>set</w:t>
      </w:r>
      <w:r>
        <w:rPr>
          <w:spacing w:val="21"/>
          <w:sz w:val="25"/>
        </w:rPr>
        <w:t xml:space="preserve"> </w:t>
      </w:r>
      <w:r>
        <w:rPr>
          <w:sz w:val="25"/>
        </w:rPr>
        <w:t>out</w:t>
      </w:r>
      <w:r>
        <w:rPr>
          <w:spacing w:val="20"/>
          <w:sz w:val="25"/>
        </w:rPr>
        <w:t xml:space="preserve"> </w:t>
      </w:r>
      <w:r>
        <w:rPr>
          <w:sz w:val="25"/>
        </w:rPr>
        <w:t>in</w:t>
      </w:r>
      <w:r>
        <w:rPr>
          <w:spacing w:val="21"/>
          <w:sz w:val="25"/>
        </w:rPr>
        <w:t xml:space="preserve"> </w:t>
      </w:r>
      <w:r>
        <w:rPr>
          <w:sz w:val="25"/>
        </w:rPr>
        <w:t>Regulations</w:t>
      </w:r>
      <w:r>
        <w:rPr>
          <w:spacing w:val="20"/>
          <w:sz w:val="25"/>
        </w:rPr>
        <w:t xml:space="preserve"> </w:t>
      </w:r>
      <w:r>
        <w:rPr>
          <w:sz w:val="25"/>
        </w:rPr>
        <w:t>5</w:t>
      </w:r>
    </w:p>
    <w:p w:rsidR="008215AB" w:rsidRDefault="008215AB">
      <w:pPr>
        <w:pStyle w:val="BodyText"/>
        <w:rPr>
          <w:sz w:val="20"/>
        </w:rPr>
      </w:pPr>
    </w:p>
    <w:p w:rsidR="008215AB" w:rsidRDefault="008215AB">
      <w:pPr>
        <w:pStyle w:val="BodyText"/>
        <w:spacing w:before="9"/>
        <w:rPr>
          <w:sz w:val="24"/>
        </w:rPr>
      </w:pPr>
      <w:r w:rsidRPr="008215AB">
        <w:pict>
          <v:rect id="_x0000_s2051" style="position:absolute;margin-left:1in;margin-top:16.2pt;width:2in;height:.6pt;z-index:-15723520;mso-wrap-distance-left:0;mso-wrap-distance-right:0;mso-position-horizontal-relative:page" fillcolor="black" stroked="f">
            <w10:wrap type="topAndBottom" anchorx="page"/>
          </v:rect>
        </w:pict>
      </w:r>
    </w:p>
    <w:p w:rsidR="008215AB" w:rsidRDefault="008215AB">
      <w:pPr>
        <w:rPr>
          <w:sz w:val="24"/>
        </w:rPr>
        <w:sectPr w:rsidR="008215AB">
          <w:footerReference w:type="default" r:id="rId15"/>
          <w:pgSz w:w="11910" w:h="16840"/>
          <w:pgMar w:top="1340" w:right="1100" w:bottom="1660" w:left="1220" w:header="0" w:footer="1476" w:gutter="0"/>
          <w:cols w:space="720"/>
        </w:sectPr>
      </w:pPr>
    </w:p>
    <w:p w:rsidR="008215AB" w:rsidRDefault="006513FA">
      <w:pPr>
        <w:pStyle w:val="BodyText"/>
        <w:spacing w:before="78" w:line="480" w:lineRule="auto"/>
        <w:ind w:left="1660" w:right="340"/>
        <w:jc w:val="both"/>
      </w:pPr>
      <w:r>
        <w:t>and 7 and emerges as the highest bidder, they have a statutory right to be selected;</w:t>
      </w:r>
    </w:p>
    <w:p w:rsidR="008215AB" w:rsidRDefault="006513FA">
      <w:pPr>
        <w:pStyle w:val="ListParagraph"/>
        <w:numPr>
          <w:ilvl w:val="0"/>
          <w:numId w:val="2"/>
        </w:numPr>
        <w:tabs>
          <w:tab w:val="left" w:pos="1661"/>
        </w:tabs>
        <w:spacing w:line="480" w:lineRule="auto"/>
        <w:jc w:val="both"/>
        <w:rPr>
          <w:sz w:val="25"/>
        </w:rPr>
      </w:pPr>
      <w:r>
        <w:rPr>
          <w:sz w:val="25"/>
        </w:rPr>
        <w:t xml:space="preserve">The CGD Authorisation Regulations do not set out criteria for </w:t>
      </w:r>
      <w:r>
        <w:rPr>
          <w:w w:val="99"/>
          <w:sz w:val="25"/>
        </w:rPr>
        <w:t>dete</w:t>
      </w:r>
      <w:r>
        <w:rPr>
          <w:spacing w:val="1"/>
          <w:w w:val="99"/>
          <w:sz w:val="25"/>
        </w:rPr>
        <w:t>r</w:t>
      </w:r>
      <w:r>
        <w:rPr>
          <w:w w:val="99"/>
          <w:sz w:val="25"/>
        </w:rPr>
        <w:t>mining</w:t>
      </w:r>
      <w:r>
        <w:rPr>
          <w:spacing w:val="2"/>
          <w:sz w:val="25"/>
        </w:rPr>
        <w:t xml:space="preserve"> </w:t>
      </w:r>
      <w:r>
        <w:rPr>
          <w:w w:val="33"/>
          <w:sz w:val="25"/>
        </w:rPr>
        <w:t>―</w:t>
      </w:r>
      <w:r>
        <w:rPr>
          <w:spacing w:val="-1"/>
          <w:w w:val="99"/>
          <w:sz w:val="25"/>
        </w:rPr>
        <w:t>u</w:t>
      </w:r>
      <w:r>
        <w:rPr>
          <w:w w:val="99"/>
          <w:sz w:val="25"/>
        </w:rPr>
        <w:t>nr</w:t>
      </w:r>
      <w:r>
        <w:rPr>
          <w:spacing w:val="-1"/>
          <w:w w:val="99"/>
          <w:sz w:val="25"/>
        </w:rPr>
        <w:t>e</w:t>
      </w:r>
      <w:r>
        <w:rPr>
          <w:w w:val="99"/>
          <w:sz w:val="25"/>
        </w:rPr>
        <w:t>as</w:t>
      </w:r>
      <w:r>
        <w:rPr>
          <w:spacing w:val="-2"/>
          <w:w w:val="99"/>
          <w:sz w:val="25"/>
        </w:rPr>
        <w:t>o</w:t>
      </w:r>
      <w:r>
        <w:rPr>
          <w:spacing w:val="-1"/>
          <w:w w:val="99"/>
          <w:sz w:val="25"/>
        </w:rPr>
        <w:t>n</w:t>
      </w:r>
      <w:r>
        <w:rPr>
          <w:w w:val="99"/>
          <w:sz w:val="25"/>
        </w:rPr>
        <w:t>a</w:t>
      </w:r>
      <w:r>
        <w:rPr>
          <w:spacing w:val="-1"/>
          <w:w w:val="99"/>
          <w:sz w:val="25"/>
        </w:rPr>
        <w:t>bl</w:t>
      </w:r>
      <w:r>
        <w:rPr>
          <w:w w:val="99"/>
          <w:sz w:val="25"/>
        </w:rPr>
        <w:t>y</w:t>
      </w:r>
      <w:r>
        <w:rPr>
          <w:spacing w:val="-1"/>
          <w:sz w:val="25"/>
        </w:rPr>
        <w:t xml:space="preserve"> </w:t>
      </w:r>
      <w:r>
        <w:rPr>
          <w:w w:val="99"/>
          <w:sz w:val="25"/>
        </w:rPr>
        <w:t>h</w:t>
      </w:r>
      <w:r>
        <w:rPr>
          <w:spacing w:val="-1"/>
          <w:w w:val="99"/>
          <w:sz w:val="25"/>
        </w:rPr>
        <w:t>ig</w:t>
      </w:r>
      <w:r>
        <w:rPr>
          <w:w w:val="99"/>
          <w:sz w:val="25"/>
        </w:rPr>
        <w:t>h</w:t>
      </w:r>
      <w:r>
        <w:rPr>
          <w:sz w:val="25"/>
        </w:rPr>
        <w:t xml:space="preserve"> </w:t>
      </w:r>
      <w:r>
        <w:rPr>
          <w:spacing w:val="-1"/>
          <w:w w:val="99"/>
          <w:sz w:val="25"/>
        </w:rPr>
        <w:t>o</w:t>
      </w:r>
      <w:r>
        <w:rPr>
          <w:w w:val="99"/>
          <w:sz w:val="25"/>
        </w:rPr>
        <w:t>r</w:t>
      </w:r>
      <w:r>
        <w:rPr>
          <w:sz w:val="25"/>
        </w:rPr>
        <w:t xml:space="preserve"> </w:t>
      </w:r>
      <w:r>
        <w:rPr>
          <w:spacing w:val="-1"/>
          <w:w w:val="95"/>
          <w:sz w:val="25"/>
        </w:rPr>
        <w:t>low</w:t>
      </w:r>
      <w:r>
        <w:rPr>
          <w:w w:val="95"/>
          <w:sz w:val="25"/>
        </w:rPr>
        <w:t>‖</w:t>
      </w:r>
      <w:r>
        <w:rPr>
          <w:sz w:val="25"/>
        </w:rPr>
        <w:t xml:space="preserve"> </w:t>
      </w:r>
      <w:r>
        <w:rPr>
          <w:spacing w:val="6"/>
          <w:w w:val="99"/>
          <w:sz w:val="25"/>
        </w:rPr>
        <w:t>b</w:t>
      </w:r>
      <w:r>
        <w:rPr>
          <w:w w:val="99"/>
          <w:sz w:val="25"/>
        </w:rPr>
        <w:t>ids</w:t>
      </w:r>
      <w:r>
        <w:rPr>
          <w:spacing w:val="-1"/>
          <w:sz w:val="25"/>
        </w:rPr>
        <w:t xml:space="preserve"> </w:t>
      </w:r>
      <w:r>
        <w:rPr>
          <w:w w:val="99"/>
          <w:sz w:val="25"/>
        </w:rPr>
        <w:t>and</w:t>
      </w:r>
      <w:r>
        <w:rPr>
          <w:sz w:val="25"/>
        </w:rPr>
        <w:t xml:space="preserve"> </w:t>
      </w:r>
      <w:r>
        <w:rPr>
          <w:w w:val="99"/>
          <w:sz w:val="25"/>
        </w:rPr>
        <w:t>no</w:t>
      </w:r>
      <w:r>
        <w:rPr>
          <w:sz w:val="25"/>
        </w:rPr>
        <w:t xml:space="preserve"> </w:t>
      </w:r>
      <w:r>
        <w:rPr>
          <w:w w:val="99"/>
          <w:sz w:val="25"/>
        </w:rPr>
        <w:t>such</w:t>
      </w:r>
      <w:r>
        <w:rPr>
          <w:spacing w:val="3"/>
          <w:sz w:val="25"/>
        </w:rPr>
        <w:t xml:space="preserve"> </w:t>
      </w:r>
      <w:r>
        <w:rPr>
          <w:w w:val="99"/>
          <w:sz w:val="25"/>
        </w:rPr>
        <w:t>crite</w:t>
      </w:r>
      <w:r>
        <w:rPr>
          <w:spacing w:val="1"/>
          <w:w w:val="99"/>
          <w:sz w:val="25"/>
        </w:rPr>
        <w:t>r</w:t>
      </w:r>
      <w:r>
        <w:rPr>
          <w:spacing w:val="2"/>
          <w:w w:val="99"/>
          <w:sz w:val="25"/>
        </w:rPr>
        <w:t>i</w:t>
      </w:r>
      <w:r>
        <w:rPr>
          <w:w w:val="99"/>
          <w:sz w:val="25"/>
        </w:rPr>
        <w:t>a</w:t>
      </w:r>
      <w:r>
        <w:rPr>
          <w:spacing w:val="2"/>
          <w:sz w:val="25"/>
        </w:rPr>
        <w:t xml:space="preserve"> </w:t>
      </w:r>
      <w:r>
        <w:rPr>
          <w:w w:val="99"/>
          <w:sz w:val="25"/>
        </w:rPr>
        <w:t xml:space="preserve">can </w:t>
      </w:r>
      <w:r>
        <w:rPr>
          <w:sz w:val="25"/>
        </w:rPr>
        <w:t>be read into the Regulations and enforced on the</w:t>
      </w:r>
      <w:r>
        <w:rPr>
          <w:spacing w:val="-5"/>
          <w:sz w:val="25"/>
        </w:rPr>
        <w:t xml:space="preserve"> </w:t>
      </w:r>
      <w:r>
        <w:rPr>
          <w:sz w:val="25"/>
        </w:rPr>
        <w:t>Board;</w:t>
      </w:r>
    </w:p>
    <w:p w:rsidR="008215AB" w:rsidRDefault="006513FA">
      <w:pPr>
        <w:pStyle w:val="ListParagraph"/>
        <w:numPr>
          <w:ilvl w:val="0"/>
          <w:numId w:val="2"/>
        </w:numPr>
        <w:tabs>
          <w:tab w:val="left" w:pos="1661"/>
        </w:tabs>
        <w:spacing w:line="480" w:lineRule="auto"/>
        <w:jc w:val="both"/>
        <w:rPr>
          <w:sz w:val="25"/>
        </w:rPr>
      </w:pPr>
      <w:r>
        <w:rPr>
          <w:sz w:val="25"/>
        </w:rPr>
        <w:t xml:space="preserve">Clause 4.4.1 read with Addendum 1 explicitly states that the Board‘s </w:t>
      </w:r>
      <w:r>
        <w:rPr>
          <w:w w:val="99"/>
          <w:sz w:val="25"/>
        </w:rPr>
        <w:t>power</w:t>
      </w:r>
      <w:r>
        <w:rPr>
          <w:sz w:val="25"/>
        </w:rPr>
        <w:t xml:space="preserve"> </w:t>
      </w:r>
      <w:r>
        <w:rPr>
          <w:spacing w:val="23"/>
          <w:sz w:val="25"/>
        </w:rPr>
        <w:t xml:space="preserve"> </w:t>
      </w:r>
      <w:r>
        <w:rPr>
          <w:w w:val="99"/>
          <w:sz w:val="25"/>
        </w:rPr>
        <w:t>to</w:t>
      </w:r>
      <w:r>
        <w:rPr>
          <w:sz w:val="25"/>
        </w:rPr>
        <w:t xml:space="preserve"> </w:t>
      </w:r>
      <w:r>
        <w:rPr>
          <w:spacing w:val="22"/>
          <w:sz w:val="25"/>
        </w:rPr>
        <w:t xml:space="preserve"> </w:t>
      </w:r>
      <w:r>
        <w:rPr>
          <w:spacing w:val="-1"/>
          <w:w w:val="99"/>
          <w:sz w:val="25"/>
        </w:rPr>
        <w:t>d</w:t>
      </w:r>
      <w:r>
        <w:rPr>
          <w:w w:val="99"/>
          <w:sz w:val="25"/>
        </w:rPr>
        <w:t>ete</w:t>
      </w:r>
      <w:r>
        <w:rPr>
          <w:spacing w:val="1"/>
          <w:w w:val="99"/>
          <w:sz w:val="25"/>
        </w:rPr>
        <w:t>r</w:t>
      </w:r>
      <w:r>
        <w:rPr>
          <w:w w:val="99"/>
          <w:sz w:val="25"/>
        </w:rPr>
        <w:t>m</w:t>
      </w:r>
      <w:r>
        <w:rPr>
          <w:spacing w:val="-1"/>
          <w:w w:val="99"/>
          <w:sz w:val="25"/>
        </w:rPr>
        <w:t>in</w:t>
      </w:r>
      <w:r>
        <w:rPr>
          <w:w w:val="99"/>
          <w:sz w:val="25"/>
        </w:rPr>
        <w:t>e</w:t>
      </w:r>
      <w:r>
        <w:rPr>
          <w:sz w:val="25"/>
        </w:rPr>
        <w:t xml:space="preserve"> </w:t>
      </w:r>
      <w:r>
        <w:rPr>
          <w:spacing w:val="22"/>
          <w:sz w:val="25"/>
        </w:rPr>
        <w:t xml:space="preserve"> </w:t>
      </w:r>
      <w:r>
        <w:rPr>
          <w:w w:val="33"/>
          <w:sz w:val="25"/>
        </w:rPr>
        <w:t>―</w:t>
      </w:r>
      <w:r>
        <w:rPr>
          <w:spacing w:val="-1"/>
          <w:w w:val="99"/>
          <w:sz w:val="25"/>
        </w:rPr>
        <w:t>u</w:t>
      </w:r>
      <w:r>
        <w:rPr>
          <w:w w:val="99"/>
          <w:sz w:val="25"/>
        </w:rPr>
        <w:t>nr</w:t>
      </w:r>
      <w:r>
        <w:rPr>
          <w:spacing w:val="-1"/>
          <w:w w:val="99"/>
          <w:sz w:val="25"/>
        </w:rPr>
        <w:t>e</w:t>
      </w:r>
      <w:r>
        <w:rPr>
          <w:w w:val="99"/>
          <w:sz w:val="25"/>
        </w:rPr>
        <w:t>ason</w:t>
      </w:r>
      <w:r>
        <w:rPr>
          <w:spacing w:val="-1"/>
          <w:w w:val="99"/>
          <w:sz w:val="25"/>
        </w:rPr>
        <w:t>a</w:t>
      </w:r>
      <w:r>
        <w:rPr>
          <w:w w:val="99"/>
          <w:sz w:val="25"/>
        </w:rPr>
        <w:t>b</w:t>
      </w:r>
      <w:r>
        <w:rPr>
          <w:spacing w:val="-1"/>
          <w:w w:val="99"/>
          <w:sz w:val="25"/>
        </w:rPr>
        <w:t>l</w:t>
      </w:r>
      <w:r>
        <w:rPr>
          <w:w w:val="99"/>
          <w:sz w:val="25"/>
        </w:rPr>
        <w:t>y</w:t>
      </w:r>
      <w:r>
        <w:rPr>
          <w:sz w:val="25"/>
        </w:rPr>
        <w:t xml:space="preserve"> </w:t>
      </w:r>
      <w:r>
        <w:rPr>
          <w:spacing w:val="19"/>
          <w:sz w:val="25"/>
        </w:rPr>
        <w:t xml:space="preserve"> </w:t>
      </w:r>
      <w:r>
        <w:rPr>
          <w:spacing w:val="-1"/>
          <w:w w:val="99"/>
          <w:sz w:val="25"/>
        </w:rPr>
        <w:t>hig</w:t>
      </w:r>
      <w:r>
        <w:rPr>
          <w:w w:val="99"/>
          <w:sz w:val="25"/>
        </w:rPr>
        <w:t>h</w:t>
      </w:r>
      <w:r>
        <w:rPr>
          <w:sz w:val="25"/>
        </w:rPr>
        <w:t xml:space="preserve"> </w:t>
      </w:r>
      <w:r>
        <w:rPr>
          <w:spacing w:val="24"/>
          <w:sz w:val="25"/>
        </w:rPr>
        <w:t xml:space="preserve"> </w:t>
      </w:r>
      <w:r>
        <w:rPr>
          <w:spacing w:val="-1"/>
          <w:w w:val="99"/>
          <w:sz w:val="25"/>
        </w:rPr>
        <w:t>o</w:t>
      </w:r>
      <w:r>
        <w:rPr>
          <w:w w:val="99"/>
          <w:sz w:val="25"/>
        </w:rPr>
        <w:t>r</w:t>
      </w:r>
      <w:r>
        <w:rPr>
          <w:sz w:val="25"/>
        </w:rPr>
        <w:t xml:space="preserve"> </w:t>
      </w:r>
      <w:r>
        <w:rPr>
          <w:spacing w:val="22"/>
          <w:sz w:val="25"/>
        </w:rPr>
        <w:t xml:space="preserve"> </w:t>
      </w:r>
      <w:r>
        <w:rPr>
          <w:spacing w:val="-1"/>
          <w:w w:val="95"/>
          <w:sz w:val="25"/>
        </w:rPr>
        <w:t>low</w:t>
      </w:r>
      <w:r>
        <w:rPr>
          <w:w w:val="95"/>
          <w:sz w:val="25"/>
        </w:rPr>
        <w:t>‖</w:t>
      </w:r>
      <w:r>
        <w:rPr>
          <w:sz w:val="25"/>
        </w:rPr>
        <w:t xml:space="preserve"> </w:t>
      </w:r>
      <w:r>
        <w:rPr>
          <w:spacing w:val="22"/>
          <w:sz w:val="25"/>
        </w:rPr>
        <w:t xml:space="preserve"> </w:t>
      </w:r>
      <w:r>
        <w:rPr>
          <w:spacing w:val="-1"/>
          <w:w w:val="99"/>
          <w:sz w:val="25"/>
        </w:rPr>
        <w:t>bid</w:t>
      </w:r>
      <w:r>
        <w:rPr>
          <w:w w:val="99"/>
          <w:sz w:val="25"/>
        </w:rPr>
        <w:t>s</w:t>
      </w:r>
      <w:r>
        <w:rPr>
          <w:sz w:val="25"/>
        </w:rPr>
        <w:t xml:space="preserve"> </w:t>
      </w:r>
      <w:r>
        <w:rPr>
          <w:spacing w:val="24"/>
          <w:sz w:val="25"/>
        </w:rPr>
        <w:t xml:space="preserve"> </w:t>
      </w:r>
      <w:r>
        <w:rPr>
          <w:spacing w:val="-1"/>
          <w:w w:val="99"/>
          <w:sz w:val="25"/>
        </w:rPr>
        <w:t>woul</w:t>
      </w:r>
      <w:r>
        <w:rPr>
          <w:w w:val="99"/>
          <w:sz w:val="25"/>
        </w:rPr>
        <w:t>d</w:t>
      </w:r>
      <w:r>
        <w:rPr>
          <w:sz w:val="25"/>
        </w:rPr>
        <w:t xml:space="preserve"> </w:t>
      </w:r>
      <w:r>
        <w:rPr>
          <w:spacing w:val="24"/>
          <w:sz w:val="25"/>
        </w:rPr>
        <w:t xml:space="preserve"> </w:t>
      </w:r>
      <w:r>
        <w:rPr>
          <w:spacing w:val="-1"/>
          <w:w w:val="99"/>
          <w:sz w:val="25"/>
        </w:rPr>
        <w:t xml:space="preserve">be </w:t>
      </w:r>
      <w:r>
        <w:rPr>
          <w:w w:val="99"/>
          <w:sz w:val="25"/>
        </w:rPr>
        <w:t>e</w:t>
      </w:r>
      <w:r>
        <w:rPr>
          <w:spacing w:val="-2"/>
          <w:w w:val="99"/>
          <w:sz w:val="25"/>
        </w:rPr>
        <w:t>x</w:t>
      </w:r>
      <w:r>
        <w:rPr>
          <w:w w:val="99"/>
          <w:sz w:val="25"/>
        </w:rPr>
        <w:t>e</w:t>
      </w:r>
      <w:r>
        <w:rPr>
          <w:spacing w:val="1"/>
          <w:w w:val="99"/>
          <w:sz w:val="25"/>
        </w:rPr>
        <w:t>r</w:t>
      </w:r>
      <w:r>
        <w:rPr>
          <w:w w:val="99"/>
          <w:sz w:val="25"/>
        </w:rPr>
        <w:t>cised</w:t>
      </w:r>
      <w:r>
        <w:rPr>
          <w:sz w:val="25"/>
        </w:rPr>
        <w:t xml:space="preserve"> </w:t>
      </w:r>
      <w:r>
        <w:rPr>
          <w:spacing w:val="-24"/>
          <w:sz w:val="25"/>
        </w:rPr>
        <w:t xml:space="preserve"> </w:t>
      </w:r>
      <w:r>
        <w:rPr>
          <w:w w:val="99"/>
          <w:sz w:val="25"/>
        </w:rPr>
        <w:t>on</w:t>
      </w:r>
      <w:r>
        <w:rPr>
          <w:sz w:val="25"/>
        </w:rPr>
        <w:t xml:space="preserve"> </w:t>
      </w:r>
      <w:r>
        <w:rPr>
          <w:spacing w:val="-24"/>
          <w:sz w:val="25"/>
        </w:rPr>
        <w:t xml:space="preserve"> </w:t>
      </w:r>
      <w:r>
        <w:rPr>
          <w:w w:val="99"/>
          <w:sz w:val="25"/>
        </w:rPr>
        <w:t>a</w:t>
      </w:r>
      <w:r>
        <w:rPr>
          <w:sz w:val="25"/>
        </w:rPr>
        <w:t xml:space="preserve"> </w:t>
      </w:r>
      <w:r>
        <w:rPr>
          <w:spacing w:val="-22"/>
          <w:sz w:val="25"/>
        </w:rPr>
        <w:t xml:space="preserve"> </w:t>
      </w:r>
      <w:r>
        <w:rPr>
          <w:w w:val="33"/>
          <w:sz w:val="25"/>
        </w:rPr>
        <w:t>―</w:t>
      </w:r>
      <w:r>
        <w:rPr>
          <w:w w:val="99"/>
          <w:sz w:val="25"/>
        </w:rPr>
        <w:t>case</w:t>
      </w:r>
      <w:r>
        <w:rPr>
          <w:sz w:val="25"/>
        </w:rPr>
        <w:t xml:space="preserve"> </w:t>
      </w:r>
      <w:r>
        <w:rPr>
          <w:spacing w:val="-24"/>
          <w:sz w:val="25"/>
        </w:rPr>
        <w:t xml:space="preserve"> </w:t>
      </w:r>
      <w:r>
        <w:rPr>
          <w:w w:val="99"/>
          <w:sz w:val="25"/>
        </w:rPr>
        <w:t>to</w:t>
      </w:r>
      <w:r>
        <w:rPr>
          <w:sz w:val="25"/>
        </w:rPr>
        <w:t xml:space="preserve"> </w:t>
      </w:r>
      <w:r>
        <w:rPr>
          <w:spacing w:val="-24"/>
          <w:sz w:val="25"/>
        </w:rPr>
        <w:t xml:space="preserve"> </w:t>
      </w:r>
      <w:r>
        <w:rPr>
          <w:w w:val="99"/>
          <w:sz w:val="25"/>
        </w:rPr>
        <w:t>case</w:t>
      </w:r>
      <w:r>
        <w:rPr>
          <w:sz w:val="25"/>
        </w:rPr>
        <w:t xml:space="preserve"> </w:t>
      </w:r>
      <w:r>
        <w:rPr>
          <w:spacing w:val="-24"/>
          <w:sz w:val="25"/>
        </w:rPr>
        <w:t xml:space="preserve"> </w:t>
      </w:r>
      <w:r>
        <w:rPr>
          <w:w w:val="99"/>
          <w:sz w:val="25"/>
        </w:rPr>
        <w:t>basis</w:t>
      </w:r>
      <w:r>
        <w:rPr>
          <w:sz w:val="25"/>
        </w:rPr>
        <w:t xml:space="preserve"> </w:t>
      </w:r>
      <w:r>
        <w:rPr>
          <w:spacing w:val="-25"/>
          <w:sz w:val="25"/>
        </w:rPr>
        <w:t xml:space="preserve"> </w:t>
      </w:r>
      <w:r>
        <w:rPr>
          <w:w w:val="99"/>
          <w:sz w:val="25"/>
        </w:rPr>
        <w:t>after</w:t>
      </w:r>
      <w:r>
        <w:rPr>
          <w:sz w:val="25"/>
        </w:rPr>
        <w:t xml:space="preserve"> </w:t>
      </w:r>
      <w:r>
        <w:rPr>
          <w:spacing w:val="-23"/>
          <w:sz w:val="25"/>
        </w:rPr>
        <w:t xml:space="preserve"> </w:t>
      </w:r>
      <w:r>
        <w:rPr>
          <w:w w:val="99"/>
          <w:sz w:val="25"/>
        </w:rPr>
        <w:t>conside</w:t>
      </w:r>
      <w:r>
        <w:rPr>
          <w:spacing w:val="1"/>
          <w:w w:val="99"/>
          <w:sz w:val="25"/>
        </w:rPr>
        <w:t>r</w:t>
      </w:r>
      <w:r>
        <w:rPr>
          <w:w w:val="99"/>
          <w:sz w:val="25"/>
        </w:rPr>
        <w:t>ing</w:t>
      </w:r>
      <w:r>
        <w:rPr>
          <w:sz w:val="25"/>
        </w:rPr>
        <w:t xml:space="preserve"> </w:t>
      </w:r>
      <w:r>
        <w:rPr>
          <w:spacing w:val="-24"/>
          <w:sz w:val="25"/>
        </w:rPr>
        <w:t xml:space="preserve"> </w:t>
      </w:r>
      <w:r>
        <w:rPr>
          <w:w w:val="99"/>
          <w:sz w:val="25"/>
        </w:rPr>
        <w:t>the</w:t>
      </w:r>
      <w:r>
        <w:rPr>
          <w:sz w:val="25"/>
        </w:rPr>
        <w:t xml:space="preserve"> </w:t>
      </w:r>
      <w:r>
        <w:rPr>
          <w:spacing w:val="-24"/>
          <w:sz w:val="25"/>
        </w:rPr>
        <w:t xml:space="preserve"> </w:t>
      </w:r>
      <w:r>
        <w:rPr>
          <w:w w:val="99"/>
          <w:sz w:val="25"/>
        </w:rPr>
        <w:t>rele</w:t>
      </w:r>
      <w:r>
        <w:rPr>
          <w:spacing w:val="-2"/>
          <w:w w:val="99"/>
          <w:sz w:val="25"/>
        </w:rPr>
        <w:t>v</w:t>
      </w:r>
      <w:r>
        <w:rPr>
          <w:w w:val="99"/>
          <w:sz w:val="25"/>
        </w:rPr>
        <w:t xml:space="preserve">ant </w:t>
      </w:r>
      <w:r>
        <w:rPr>
          <w:sz w:val="25"/>
        </w:rPr>
        <w:t>factors‖;</w:t>
      </w:r>
    </w:p>
    <w:p w:rsidR="008215AB" w:rsidRDefault="006513FA">
      <w:pPr>
        <w:pStyle w:val="ListParagraph"/>
        <w:numPr>
          <w:ilvl w:val="0"/>
          <w:numId w:val="2"/>
        </w:numPr>
        <w:tabs>
          <w:tab w:val="left" w:pos="1661"/>
        </w:tabs>
        <w:spacing w:line="480" w:lineRule="auto"/>
        <w:ind w:right="337"/>
        <w:jc w:val="both"/>
        <w:rPr>
          <w:sz w:val="25"/>
        </w:rPr>
      </w:pPr>
      <w:r>
        <w:rPr>
          <w:sz w:val="25"/>
        </w:rPr>
        <w:t>The challenge made by the appellants is an adversarial challenge and not a Public Interest Litigation. The appellants cannot try and advance their case by relying on decisions taken in relation to separate GAs which are not presentl</w:t>
      </w:r>
      <w:r>
        <w:rPr>
          <w:sz w:val="25"/>
        </w:rPr>
        <w:t>y under challenge;</w:t>
      </w:r>
      <w:r>
        <w:rPr>
          <w:spacing w:val="-10"/>
          <w:sz w:val="25"/>
        </w:rPr>
        <w:t xml:space="preserve"> </w:t>
      </w:r>
      <w:r>
        <w:rPr>
          <w:sz w:val="25"/>
        </w:rPr>
        <w:t>and</w:t>
      </w:r>
    </w:p>
    <w:p w:rsidR="008215AB" w:rsidRDefault="006513FA">
      <w:pPr>
        <w:pStyle w:val="ListParagraph"/>
        <w:numPr>
          <w:ilvl w:val="0"/>
          <w:numId w:val="2"/>
        </w:numPr>
        <w:tabs>
          <w:tab w:val="left" w:pos="1661"/>
        </w:tabs>
        <w:spacing w:line="480" w:lineRule="auto"/>
        <w:ind w:right="339"/>
        <w:jc w:val="both"/>
        <w:rPr>
          <w:sz w:val="25"/>
        </w:rPr>
      </w:pPr>
      <w:r>
        <w:rPr>
          <w:sz w:val="25"/>
        </w:rPr>
        <w:t>The calculations made by the appellants with respect to the growth rate and projected number of households are based on irrelevant factors.</w:t>
      </w:r>
    </w:p>
    <w:p w:rsidR="008215AB" w:rsidRDefault="008215AB">
      <w:pPr>
        <w:pStyle w:val="BodyText"/>
        <w:spacing w:before="1"/>
      </w:pPr>
    </w:p>
    <w:p w:rsidR="008215AB" w:rsidRDefault="006513FA">
      <w:pPr>
        <w:pStyle w:val="ListParagraph"/>
        <w:numPr>
          <w:ilvl w:val="0"/>
          <w:numId w:val="4"/>
        </w:numPr>
        <w:tabs>
          <w:tab w:val="left" w:pos="941"/>
        </w:tabs>
        <w:spacing w:line="480" w:lineRule="auto"/>
        <w:ind w:right="343" w:firstLine="0"/>
        <w:jc w:val="both"/>
        <w:rPr>
          <w:sz w:val="25"/>
        </w:rPr>
      </w:pPr>
      <w:r>
        <w:rPr>
          <w:sz w:val="25"/>
        </w:rPr>
        <w:t>Mr Gopal Subramanium, learned Senior Counsel appearing on behalf of Torrent Gas Private Limited, supported the arguments urged by the Board and further submitted</w:t>
      </w:r>
      <w:r>
        <w:rPr>
          <w:spacing w:val="1"/>
          <w:sz w:val="25"/>
        </w:rPr>
        <w:t xml:space="preserve"> </w:t>
      </w:r>
      <w:r>
        <w:rPr>
          <w:sz w:val="25"/>
        </w:rPr>
        <w:t>that:</w:t>
      </w:r>
    </w:p>
    <w:p w:rsidR="008215AB" w:rsidRDefault="006513FA">
      <w:pPr>
        <w:pStyle w:val="ListParagraph"/>
        <w:numPr>
          <w:ilvl w:val="1"/>
          <w:numId w:val="4"/>
        </w:numPr>
        <w:tabs>
          <w:tab w:val="left" w:pos="1661"/>
        </w:tabs>
        <w:spacing w:line="480" w:lineRule="auto"/>
        <w:ind w:right="333"/>
        <w:jc w:val="both"/>
        <w:rPr>
          <w:sz w:val="25"/>
        </w:rPr>
      </w:pPr>
      <w:r>
        <w:rPr>
          <w:sz w:val="25"/>
        </w:rPr>
        <w:t>Torrent Gas Limited has attended the hearing before the Board, explained its methodology</w:t>
      </w:r>
      <w:r>
        <w:rPr>
          <w:sz w:val="25"/>
        </w:rPr>
        <w:t xml:space="preserve"> in calculating its quoted number of PNG connections, and the quoted figure has been accepted by the Board as</w:t>
      </w:r>
      <w:r>
        <w:rPr>
          <w:spacing w:val="-1"/>
          <w:sz w:val="25"/>
        </w:rPr>
        <w:t xml:space="preserve"> </w:t>
      </w:r>
      <w:r>
        <w:rPr>
          <w:sz w:val="25"/>
        </w:rPr>
        <w:t>reasonable;</w:t>
      </w:r>
    </w:p>
    <w:p w:rsidR="008215AB" w:rsidRDefault="008215AB">
      <w:pPr>
        <w:spacing w:line="480" w:lineRule="auto"/>
        <w:jc w:val="both"/>
        <w:rPr>
          <w:sz w:val="25"/>
        </w:rPr>
        <w:sectPr w:rsidR="008215AB">
          <w:footerReference w:type="default" r:id="rId16"/>
          <w:pgSz w:w="11910" w:h="16840"/>
          <w:pgMar w:top="1340" w:right="1100" w:bottom="1220" w:left="1220" w:header="0" w:footer="1034" w:gutter="0"/>
          <w:pgNumType w:start="36"/>
          <w:cols w:space="720"/>
        </w:sectPr>
      </w:pPr>
    </w:p>
    <w:p w:rsidR="008215AB" w:rsidRDefault="006513FA">
      <w:pPr>
        <w:pStyle w:val="ListParagraph"/>
        <w:numPr>
          <w:ilvl w:val="1"/>
          <w:numId w:val="4"/>
        </w:numPr>
        <w:tabs>
          <w:tab w:val="left" w:pos="1661"/>
        </w:tabs>
        <w:spacing w:before="78" w:line="480" w:lineRule="auto"/>
        <w:jc w:val="both"/>
        <w:rPr>
          <w:sz w:val="25"/>
        </w:rPr>
      </w:pPr>
      <w:r>
        <w:rPr>
          <w:sz w:val="25"/>
        </w:rPr>
        <w:t xml:space="preserve">The Board Note dated 23 July 2018 had been formulated subsequent to the submission of bids. </w:t>
      </w:r>
      <w:r>
        <w:rPr>
          <w:sz w:val="25"/>
        </w:rPr>
        <w:t>At the time of submitting its bid, the only criteria known to Torrent Gas Private Limited were those specified in Regulation 7 and the Bid Document, which did not prescribe a maximum number of PNG connections;</w:t>
      </w:r>
      <w:r>
        <w:rPr>
          <w:spacing w:val="-5"/>
          <w:sz w:val="25"/>
        </w:rPr>
        <w:t xml:space="preserve"> </w:t>
      </w:r>
      <w:r>
        <w:rPr>
          <w:sz w:val="25"/>
        </w:rPr>
        <w:t>and</w:t>
      </w:r>
    </w:p>
    <w:p w:rsidR="008215AB" w:rsidRDefault="006513FA">
      <w:pPr>
        <w:pStyle w:val="ListParagraph"/>
        <w:numPr>
          <w:ilvl w:val="1"/>
          <w:numId w:val="4"/>
        </w:numPr>
        <w:tabs>
          <w:tab w:val="left" w:pos="1661"/>
        </w:tabs>
        <w:spacing w:line="480" w:lineRule="auto"/>
        <w:ind w:right="337"/>
        <w:jc w:val="both"/>
        <w:rPr>
          <w:sz w:val="25"/>
        </w:rPr>
      </w:pPr>
      <w:r>
        <w:rPr>
          <w:sz w:val="25"/>
        </w:rPr>
        <w:t>There is no condition in either the CGD Authorisation Regulations or the Bid Document which require the quoted number of PNG connections to be calculated on the basis of 2011 Census</w:t>
      </w:r>
      <w:r>
        <w:rPr>
          <w:spacing w:val="-12"/>
          <w:sz w:val="25"/>
        </w:rPr>
        <w:t xml:space="preserve"> </w:t>
      </w:r>
      <w:r>
        <w:rPr>
          <w:sz w:val="25"/>
        </w:rPr>
        <w:t>data.</w:t>
      </w:r>
    </w:p>
    <w:p w:rsidR="008215AB" w:rsidRDefault="008215AB">
      <w:pPr>
        <w:pStyle w:val="BodyText"/>
        <w:spacing w:before="11"/>
        <w:rPr>
          <w:sz w:val="24"/>
        </w:rPr>
      </w:pPr>
    </w:p>
    <w:p w:rsidR="008215AB" w:rsidRDefault="006513FA">
      <w:pPr>
        <w:pStyle w:val="ListParagraph"/>
        <w:numPr>
          <w:ilvl w:val="0"/>
          <w:numId w:val="4"/>
        </w:numPr>
        <w:tabs>
          <w:tab w:val="left" w:pos="941"/>
        </w:tabs>
        <w:spacing w:line="480" w:lineRule="auto"/>
        <w:ind w:right="346" w:firstLine="0"/>
        <w:jc w:val="both"/>
        <w:rPr>
          <w:sz w:val="25"/>
        </w:rPr>
      </w:pPr>
      <w:r>
        <w:rPr>
          <w:sz w:val="25"/>
        </w:rPr>
        <w:t>Mr Gopal Sankaranarayanan, learned Senior Counsel appearing on beha</w:t>
      </w:r>
      <w:r>
        <w:rPr>
          <w:sz w:val="25"/>
        </w:rPr>
        <w:t>lf of SKN Haryana, urged</w:t>
      </w:r>
      <w:r>
        <w:rPr>
          <w:spacing w:val="-3"/>
          <w:sz w:val="25"/>
        </w:rPr>
        <w:t xml:space="preserve"> </w:t>
      </w:r>
      <w:r>
        <w:rPr>
          <w:sz w:val="25"/>
        </w:rPr>
        <w:t>that:</w:t>
      </w:r>
    </w:p>
    <w:p w:rsidR="008215AB" w:rsidRDefault="006513FA">
      <w:pPr>
        <w:pStyle w:val="ListParagraph"/>
        <w:numPr>
          <w:ilvl w:val="1"/>
          <w:numId w:val="4"/>
        </w:numPr>
        <w:tabs>
          <w:tab w:val="left" w:pos="1661"/>
        </w:tabs>
        <w:spacing w:line="480" w:lineRule="auto"/>
        <w:ind w:right="339"/>
        <w:jc w:val="both"/>
        <w:rPr>
          <w:sz w:val="25"/>
        </w:rPr>
      </w:pPr>
      <w:r>
        <w:rPr>
          <w:sz w:val="25"/>
        </w:rPr>
        <w:t>Adani Gas Limited was neither the second nor third placed bidder in GA 51 on the basis of the composite score, and therefore has no standing to challenge the LOI granted to SKN Haryana for GA</w:t>
      </w:r>
      <w:r>
        <w:rPr>
          <w:spacing w:val="-8"/>
          <w:sz w:val="25"/>
        </w:rPr>
        <w:t xml:space="preserve"> </w:t>
      </w:r>
      <w:r>
        <w:rPr>
          <w:sz w:val="25"/>
        </w:rPr>
        <w:t>51;</w:t>
      </w:r>
    </w:p>
    <w:p w:rsidR="008215AB" w:rsidRDefault="006513FA">
      <w:pPr>
        <w:pStyle w:val="ListParagraph"/>
        <w:numPr>
          <w:ilvl w:val="1"/>
          <w:numId w:val="4"/>
        </w:numPr>
        <w:tabs>
          <w:tab w:val="left" w:pos="1661"/>
        </w:tabs>
        <w:spacing w:before="1" w:line="480" w:lineRule="auto"/>
        <w:ind w:right="344"/>
        <w:jc w:val="both"/>
        <w:rPr>
          <w:sz w:val="25"/>
        </w:rPr>
      </w:pPr>
      <w:r>
        <w:rPr>
          <w:sz w:val="25"/>
        </w:rPr>
        <w:t xml:space="preserve">Clause 14.2 of the First Addendum makes it clear that there were no </w:t>
      </w:r>
      <w:r>
        <w:rPr>
          <w:w w:val="99"/>
          <w:sz w:val="25"/>
        </w:rPr>
        <w:t>fi</w:t>
      </w:r>
      <w:r>
        <w:rPr>
          <w:spacing w:val="-3"/>
          <w:w w:val="99"/>
          <w:sz w:val="25"/>
        </w:rPr>
        <w:t>x</w:t>
      </w:r>
      <w:r>
        <w:rPr>
          <w:w w:val="99"/>
          <w:sz w:val="25"/>
        </w:rPr>
        <w:t>ed</w:t>
      </w:r>
      <w:r>
        <w:rPr>
          <w:spacing w:val="17"/>
          <w:sz w:val="25"/>
        </w:rPr>
        <w:t xml:space="preserve"> </w:t>
      </w:r>
      <w:r>
        <w:rPr>
          <w:w w:val="99"/>
          <w:sz w:val="25"/>
        </w:rPr>
        <w:t>para</w:t>
      </w:r>
      <w:r>
        <w:rPr>
          <w:spacing w:val="1"/>
          <w:w w:val="99"/>
          <w:sz w:val="25"/>
        </w:rPr>
        <w:t>m</w:t>
      </w:r>
      <w:r>
        <w:rPr>
          <w:w w:val="99"/>
          <w:sz w:val="25"/>
        </w:rPr>
        <w:t>e</w:t>
      </w:r>
      <w:r>
        <w:rPr>
          <w:spacing w:val="2"/>
          <w:w w:val="99"/>
          <w:sz w:val="25"/>
        </w:rPr>
        <w:t>t</w:t>
      </w:r>
      <w:r>
        <w:rPr>
          <w:spacing w:val="-1"/>
          <w:w w:val="99"/>
          <w:sz w:val="25"/>
        </w:rPr>
        <w:t>e</w:t>
      </w:r>
      <w:r>
        <w:rPr>
          <w:w w:val="99"/>
          <w:sz w:val="25"/>
        </w:rPr>
        <w:t>rs</w:t>
      </w:r>
      <w:r>
        <w:rPr>
          <w:spacing w:val="16"/>
          <w:sz w:val="25"/>
        </w:rPr>
        <w:t xml:space="preserve"> </w:t>
      </w:r>
      <w:r>
        <w:rPr>
          <w:spacing w:val="-1"/>
          <w:w w:val="99"/>
          <w:sz w:val="25"/>
        </w:rPr>
        <w:t>o</w:t>
      </w:r>
      <w:r>
        <w:rPr>
          <w:w w:val="99"/>
          <w:sz w:val="25"/>
        </w:rPr>
        <w:t>n</w:t>
      </w:r>
      <w:r>
        <w:rPr>
          <w:spacing w:val="19"/>
          <w:sz w:val="25"/>
        </w:rPr>
        <w:t xml:space="preserve"> </w:t>
      </w:r>
      <w:r>
        <w:rPr>
          <w:spacing w:val="-1"/>
          <w:w w:val="99"/>
          <w:sz w:val="25"/>
        </w:rPr>
        <w:t>whic</w:t>
      </w:r>
      <w:r>
        <w:rPr>
          <w:w w:val="99"/>
          <w:sz w:val="25"/>
        </w:rPr>
        <w:t>h</w:t>
      </w:r>
      <w:r>
        <w:rPr>
          <w:spacing w:val="17"/>
          <w:sz w:val="25"/>
        </w:rPr>
        <w:t xml:space="preserve"> </w:t>
      </w:r>
      <w:r>
        <w:rPr>
          <w:spacing w:val="-1"/>
          <w:w w:val="99"/>
          <w:sz w:val="25"/>
        </w:rPr>
        <w:t>a</w:t>
      </w:r>
      <w:r>
        <w:rPr>
          <w:w w:val="99"/>
          <w:sz w:val="25"/>
        </w:rPr>
        <w:t>n</w:t>
      </w:r>
      <w:r>
        <w:rPr>
          <w:spacing w:val="17"/>
          <w:sz w:val="25"/>
        </w:rPr>
        <w:t xml:space="preserve"> </w:t>
      </w:r>
      <w:r>
        <w:rPr>
          <w:w w:val="33"/>
          <w:sz w:val="25"/>
        </w:rPr>
        <w:t>―</w:t>
      </w:r>
      <w:r>
        <w:rPr>
          <w:spacing w:val="-1"/>
          <w:w w:val="99"/>
          <w:sz w:val="25"/>
        </w:rPr>
        <w:t>u</w:t>
      </w:r>
      <w:r>
        <w:rPr>
          <w:w w:val="99"/>
          <w:sz w:val="25"/>
        </w:rPr>
        <w:t>nr</w:t>
      </w:r>
      <w:r>
        <w:rPr>
          <w:spacing w:val="-1"/>
          <w:w w:val="99"/>
          <w:sz w:val="25"/>
        </w:rPr>
        <w:t>e</w:t>
      </w:r>
      <w:r>
        <w:rPr>
          <w:w w:val="99"/>
          <w:sz w:val="25"/>
        </w:rPr>
        <w:t>ason</w:t>
      </w:r>
      <w:r>
        <w:rPr>
          <w:spacing w:val="-1"/>
          <w:w w:val="99"/>
          <w:sz w:val="25"/>
        </w:rPr>
        <w:t>a</w:t>
      </w:r>
      <w:r>
        <w:rPr>
          <w:w w:val="99"/>
          <w:sz w:val="25"/>
        </w:rPr>
        <w:t>b</w:t>
      </w:r>
      <w:r>
        <w:rPr>
          <w:spacing w:val="-1"/>
          <w:w w:val="99"/>
          <w:sz w:val="25"/>
        </w:rPr>
        <w:t>l</w:t>
      </w:r>
      <w:r>
        <w:rPr>
          <w:w w:val="99"/>
          <w:sz w:val="25"/>
        </w:rPr>
        <w:t>y</w:t>
      </w:r>
      <w:r>
        <w:rPr>
          <w:spacing w:val="16"/>
          <w:sz w:val="25"/>
        </w:rPr>
        <w:t xml:space="preserve"> </w:t>
      </w:r>
      <w:r>
        <w:rPr>
          <w:spacing w:val="-1"/>
          <w:w w:val="99"/>
          <w:sz w:val="25"/>
        </w:rPr>
        <w:t>hig</w:t>
      </w:r>
      <w:r>
        <w:rPr>
          <w:w w:val="99"/>
          <w:sz w:val="25"/>
        </w:rPr>
        <w:t>h</w:t>
      </w:r>
      <w:r>
        <w:rPr>
          <w:spacing w:val="17"/>
          <w:sz w:val="25"/>
        </w:rPr>
        <w:t xml:space="preserve"> </w:t>
      </w:r>
      <w:r>
        <w:rPr>
          <w:spacing w:val="-1"/>
          <w:w w:val="99"/>
          <w:sz w:val="25"/>
        </w:rPr>
        <w:t>o</w:t>
      </w:r>
      <w:r>
        <w:rPr>
          <w:w w:val="99"/>
          <w:sz w:val="25"/>
        </w:rPr>
        <w:t>r</w:t>
      </w:r>
      <w:r>
        <w:rPr>
          <w:spacing w:val="17"/>
          <w:sz w:val="25"/>
        </w:rPr>
        <w:t xml:space="preserve"> </w:t>
      </w:r>
      <w:r>
        <w:rPr>
          <w:spacing w:val="-1"/>
          <w:w w:val="95"/>
          <w:sz w:val="25"/>
        </w:rPr>
        <w:t>low</w:t>
      </w:r>
      <w:r>
        <w:rPr>
          <w:w w:val="95"/>
          <w:sz w:val="25"/>
        </w:rPr>
        <w:t>‖</w:t>
      </w:r>
      <w:r>
        <w:rPr>
          <w:spacing w:val="17"/>
          <w:sz w:val="25"/>
        </w:rPr>
        <w:t xml:space="preserve"> </w:t>
      </w:r>
      <w:r>
        <w:rPr>
          <w:spacing w:val="-1"/>
          <w:w w:val="99"/>
          <w:sz w:val="25"/>
        </w:rPr>
        <w:t>bi</w:t>
      </w:r>
      <w:r>
        <w:rPr>
          <w:w w:val="99"/>
          <w:sz w:val="25"/>
        </w:rPr>
        <w:t>d</w:t>
      </w:r>
      <w:r>
        <w:rPr>
          <w:spacing w:val="19"/>
          <w:sz w:val="25"/>
        </w:rPr>
        <w:t xml:space="preserve"> </w:t>
      </w:r>
      <w:r>
        <w:rPr>
          <w:spacing w:val="1"/>
          <w:w w:val="99"/>
          <w:sz w:val="25"/>
        </w:rPr>
        <w:t>w</w:t>
      </w:r>
      <w:r>
        <w:rPr>
          <w:spacing w:val="-1"/>
          <w:w w:val="99"/>
          <w:sz w:val="25"/>
        </w:rPr>
        <w:t>o</w:t>
      </w:r>
      <w:r>
        <w:rPr>
          <w:w w:val="99"/>
          <w:sz w:val="25"/>
        </w:rPr>
        <w:t>u</w:t>
      </w:r>
      <w:r>
        <w:rPr>
          <w:spacing w:val="-1"/>
          <w:w w:val="99"/>
          <w:sz w:val="25"/>
        </w:rPr>
        <w:t xml:space="preserve">ld </w:t>
      </w:r>
      <w:r>
        <w:rPr>
          <w:sz w:val="25"/>
        </w:rPr>
        <w:t>be determined, and specified that such determination would take place on a case to case basis;</w:t>
      </w:r>
      <w:r>
        <w:rPr>
          <w:spacing w:val="-2"/>
          <w:sz w:val="25"/>
        </w:rPr>
        <w:t xml:space="preserve"> </w:t>
      </w:r>
      <w:r>
        <w:rPr>
          <w:sz w:val="25"/>
        </w:rPr>
        <w:t>and</w:t>
      </w:r>
    </w:p>
    <w:p w:rsidR="008215AB" w:rsidRDefault="006513FA">
      <w:pPr>
        <w:pStyle w:val="ListParagraph"/>
        <w:numPr>
          <w:ilvl w:val="1"/>
          <w:numId w:val="4"/>
        </w:numPr>
        <w:tabs>
          <w:tab w:val="left" w:pos="1661"/>
        </w:tabs>
        <w:spacing w:line="480" w:lineRule="auto"/>
        <w:ind w:right="335"/>
        <w:jc w:val="both"/>
        <w:rPr>
          <w:sz w:val="25"/>
        </w:rPr>
      </w:pPr>
      <w:r>
        <w:rPr>
          <w:sz w:val="25"/>
        </w:rPr>
        <w:t xml:space="preserve">According to the calculation of composite scores in Schedule C(1), the bidder with the highest number </w:t>
      </w:r>
      <w:r>
        <w:rPr>
          <w:spacing w:val="2"/>
          <w:sz w:val="25"/>
        </w:rPr>
        <w:t xml:space="preserve">of </w:t>
      </w:r>
      <w:r>
        <w:rPr>
          <w:sz w:val="25"/>
        </w:rPr>
        <w:t xml:space="preserve">PNG connections is at 100% and all other bidders are reduced in proportion to the highest </w:t>
      </w:r>
      <w:r>
        <w:rPr>
          <w:spacing w:val="-1"/>
          <w:w w:val="99"/>
          <w:sz w:val="25"/>
        </w:rPr>
        <w:t>bid</w:t>
      </w:r>
      <w:r>
        <w:rPr>
          <w:w w:val="99"/>
          <w:sz w:val="25"/>
        </w:rPr>
        <w:t>d</w:t>
      </w:r>
      <w:r>
        <w:rPr>
          <w:spacing w:val="-1"/>
          <w:w w:val="99"/>
          <w:sz w:val="25"/>
        </w:rPr>
        <w:t>e</w:t>
      </w:r>
      <w:r>
        <w:rPr>
          <w:w w:val="99"/>
          <w:sz w:val="25"/>
        </w:rPr>
        <w:t>r</w:t>
      </w:r>
      <w:r>
        <w:rPr>
          <w:spacing w:val="-1"/>
          <w:w w:val="99"/>
          <w:sz w:val="25"/>
        </w:rPr>
        <w:t>‘</w:t>
      </w:r>
      <w:r>
        <w:rPr>
          <w:w w:val="99"/>
          <w:sz w:val="25"/>
        </w:rPr>
        <w:t>s</w:t>
      </w:r>
      <w:r>
        <w:rPr>
          <w:spacing w:val="16"/>
          <w:sz w:val="25"/>
        </w:rPr>
        <w:t xml:space="preserve"> </w:t>
      </w:r>
      <w:r>
        <w:rPr>
          <w:w w:val="99"/>
          <w:sz w:val="25"/>
        </w:rPr>
        <w:t>sco</w:t>
      </w:r>
      <w:r>
        <w:rPr>
          <w:spacing w:val="1"/>
          <w:w w:val="99"/>
          <w:sz w:val="25"/>
        </w:rPr>
        <w:t>r</w:t>
      </w:r>
      <w:r>
        <w:rPr>
          <w:spacing w:val="-1"/>
          <w:w w:val="99"/>
          <w:sz w:val="25"/>
        </w:rPr>
        <w:t>e</w:t>
      </w:r>
      <w:r>
        <w:rPr>
          <w:w w:val="99"/>
          <w:sz w:val="25"/>
        </w:rPr>
        <w:t>.</w:t>
      </w:r>
      <w:r>
        <w:rPr>
          <w:spacing w:val="17"/>
          <w:sz w:val="25"/>
        </w:rPr>
        <w:t xml:space="preserve"> </w:t>
      </w:r>
      <w:r>
        <w:rPr>
          <w:w w:val="99"/>
          <w:sz w:val="25"/>
        </w:rPr>
        <w:t>If</w:t>
      </w:r>
      <w:r>
        <w:rPr>
          <w:spacing w:val="14"/>
          <w:sz w:val="25"/>
        </w:rPr>
        <w:t xml:space="preserve"> </w:t>
      </w:r>
      <w:r>
        <w:rPr>
          <w:spacing w:val="-1"/>
          <w:w w:val="99"/>
          <w:sz w:val="25"/>
        </w:rPr>
        <w:t>1</w:t>
      </w:r>
      <w:r>
        <w:rPr>
          <w:w w:val="99"/>
          <w:sz w:val="25"/>
        </w:rPr>
        <w:t>0</w:t>
      </w:r>
      <w:r>
        <w:rPr>
          <w:spacing w:val="-3"/>
          <w:w w:val="99"/>
          <w:sz w:val="25"/>
        </w:rPr>
        <w:t>0</w:t>
      </w:r>
      <w:r>
        <w:rPr>
          <w:w w:val="99"/>
          <w:sz w:val="25"/>
        </w:rPr>
        <w:t>%</w:t>
      </w:r>
      <w:r>
        <w:rPr>
          <w:spacing w:val="15"/>
          <w:sz w:val="25"/>
        </w:rPr>
        <w:t xml:space="preserve"> </w:t>
      </w:r>
      <w:r>
        <w:rPr>
          <w:spacing w:val="-1"/>
          <w:w w:val="99"/>
          <w:sz w:val="25"/>
        </w:rPr>
        <w:t>o</w:t>
      </w:r>
      <w:r>
        <w:rPr>
          <w:w w:val="99"/>
          <w:sz w:val="25"/>
        </w:rPr>
        <w:t>f</w:t>
      </w:r>
      <w:r>
        <w:rPr>
          <w:spacing w:val="17"/>
          <w:sz w:val="25"/>
        </w:rPr>
        <w:t xml:space="preserve"> </w:t>
      </w:r>
      <w:r>
        <w:rPr>
          <w:w w:val="99"/>
          <w:sz w:val="25"/>
        </w:rPr>
        <w:t>the</w:t>
      </w:r>
      <w:r>
        <w:rPr>
          <w:spacing w:val="17"/>
          <w:sz w:val="25"/>
        </w:rPr>
        <w:t xml:space="preserve"> </w:t>
      </w:r>
      <w:r>
        <w:rPr>
          <w:spacing w:val="-1"/>
          <w:w w:val="99"/>
          <w:sz w:val="25"/>
        </w:rPr>
        <w:t>2</w:t>
      </w:r>
      <w:r>
        <w:rPr>
          <w:w w:val="99"/>
          <w:sz w:val="25"/>
        </w:rPr>
        <w:t>0</w:t>
      </w:r>
      <w:r>
        <w:rPr>
          <w:spacing w:val="-1"/>
          <w:w w:val="99"/>
          <w:sz w:val="25"/>
        </w:rPr>
        <w:t>1</w:t>
      </w:r>
      <w:r>
        <w:rPr>
          <w:w w:val="99"/>
          <w:sz w:val="25"/>
        </w:rPr>
        <w:t>1</w:t>
      </w:r>
      <w:r>
        <w:rPr>
          <w:spacing w:val="17"/>
          <w:sz w:val="25"/>
        </w:rPr>
        <w:t xml:space="preserve"> </w:t>
      </w:r>
      <w:r>
        <w:rPr>
          <w:spacing w:val="-1"/>
          <w:w w:val="99"/>
          <w:sz w:val="25"/>
        </w:rPr>
        <w:t>Cens</w:t>
      </w:r>
      <w:r>
        <w:rPr>
          <w:spacing w:val="-2"/>
          <w:w w:val="99"/>
          <w:sz w:val="25"/>
        </w:rPr>
        <w:t>u</w:t>
      </w:r>
      <w:r>
        <w:rPr>
          <w:w w:val="99"/>
          <w:sz w:val="25"/>
        </w:rPr>
        <w:t>s</w:t>
      </w:r>
      <w:r>
        <w:rPr>
          <w:spacing w:val="16"/>
          <w:sz w:val="25"/>
        </w:rPr>
        <w:t xml:space="preserve"> </w:t>
      </w:r>
      <w:r>
        <w:rPr>
          <w:spacing w:val="-1"/>
          <w:w w:val="99"/>
          <w:sz w:val="25"/>
        </w:rPr>
        <w:t>d</w:t>
      </w:r>
      <w:r>
        <w:rPr>
          <w:w w:val="99"/>
          <w:sz w:val="25"/>
        </w:rPr>
        <w:t>ata</w:t>
      </w:r>
      <w:r>
        <w:rPr>
          <w:spacing w:val="17"/>
          <w:sz w:val="25"/>
        </w:rPr>
        <w:t xml:space="preserve"> </w:t>
      </w:r>
      <w:r>
        <w:rPr>
          <w:spacing w:val="-1"/>
          <w:w w:val="99"/>
          <w:sz w:val="25"/>
        </w:rPr>
        <w:t>wa</w:t>
      </w:r>
      <w:r>
        <w:rPr>
          <w:w w:val="99"/>
          <w:sz w:val="25"/>
        </w:rPr>
        <w:t>s</w:t>
      </w:r>
      <w:r>
        <w:rPr>
          <w:spacing w:val="16"/>
          <w:sz w:val="25"/>
        </w:rPr>
        <w:t xml:space="preserve"> </w:t>
      </w:r>
      <w:r>
        <w:rPr>
          <w:w w:val="99"/>
          <w:sz w:val="25"/>
        </w:rPr>
        <w:t>a</w:t>
      </w:r>
      <w:r>
        <w:rPr>
          <w:spacing w:val="24"/>
          <w:sz w:val="25"/>
        </w:rPr>
        <w:t xml:space="preserve"> </w:t>
      </w:r>
      <w:r>
        <w:rPr>
          <w:spacing w:val="-1"/>
          <w:w w:val="40"/>
          <w:sz w:val="25"/>
        </w:rPr>
        <w:t>‗</w:t>
      </w:r>
      <w:r>
        <w:rPr>
          <w:w w:val="99"/>
          <w:sz w:val="25"/>
        </w:rPr>
        <w:t>h</w:t>
      </w:r>
      <w:r>
        <w:rPr>
          <w:spacing w:val="-2"/>
          <w:w w:val="99"/>
          <w:sz w:val="25"/>
        </w:rPr>
        <w:t>a</w:t>
      </w:r>
      <w:r>
        <w:rPr>
          <w:w w:val="99"/>
          <w:sz w:val="25"/>
        </w:rPr>
        <w:t>rd</w:t>
      </w:r>
      <w:r>
        <w:rPr>
          <w:spacing w:val="17"/>
          <w:sz w:val="25"/>
        </w:rPr>
        <w:t xml:space="preserve"> </w:t>
      </w:r>
      <w:r>
        <w:rPr>
          <w:spacing w:val="-2"/>
          <w:w w:val="99"/>
          <w:sz w:val="25"/>
        </w:rPr>
        <w:t>u</w:t>
      </w:r>
      <w:r>
        <w:rPr>
          <w:w w:val="99"/>
          <w:sz w:val="25"/>
        </w:rPr>
        <w:t xml:space="preserve">pper </w:t>
      </w:r>
      <w:r>
        <w:rPr>
          <w:sz w:val="25"/>
        </w:rPr>
        <w:t>limit‘ on the quoted number of PNG connections, the calculation in Schedule C(1) would be rendered</w:t>
      </w:r>
      <w:r>
        <w:rPr>
          <w:spacing w:val="-3"/>
          <w:sz w:val="25"/>
        </w:rPr>
        <w:t xml:space="preserve"> </w:t>
      </w:r>
      <w:r>
        <w:rPr>
          <w:sz w:val="25"/>
        </w:rPr>
        <w:t>redundant.</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ListParagraph"/>
        <w:numPr>
          <w:ilvl w:val="0"/>
          <w:numId w:val="4"/>
        </w:numPr>
        <w:tabs>
          <w:tab w:val="left" w:pos="941"/>
        </w:tabs>
        <w:spacing w:before="78" w:line="480" w:lineRule="auto"/>
        <w:ind w:right="347" w:firstLine="0"/>
        <w:jc w:val="both"/>
        <w:rPr>
          <w:sz w:val="25"/>
        </w:rPr>
      </w:pPr>
      <w:r>
        <w:rPr>
          <w:sz w:val="25"/>
        </w:rPr>
        <w:t>Mr Kapil Sibal, learned Senior Counsel appearing on behalf of AG &amp; P LNG, submitted as</w:t>
      </w:r>
      <w:r>
        <w:rPr>
          <w:spacing w:val="-1"/>
          <w:sz w:val="25"/>
        </w:rPr>
        <w:t xml:space="preserve"> </w:t>
      </w:r>
      <w:r>
        <w:rPr>
          <w:sz w:val="25"/>
        </w:rPr>
        <w:t>follows:</w:t>
      </w:r>
    </w:p>
    <w:p w:rsidR="008215AB" w:rsidRDefault="006513FA">
      <w:pPr>
        <w:pStyle w:val="ListParagraph"/>
        <w:numPr>
          <w:ilvl w:val="1"/>
          <w:numId w:val="4"/>
        </w:numPr>
        <w:tabs>
          <w:tab w:val="left" w:pos="1660"/>
          <w:tab w:val="left" w:pos="1661"/>
        </w:tabs>
        <w:spacing w:line="287" w:lineRule="exact"/>
        <w:ind w:right="0" w:hanging="721"/>
        <w:rPr>
          <w:sz w:val="25"/>
        </w:rPr>
      </w:pPr>
      <w:r>
        <w:rPr>
          <w:sz w:val="25"/>
        </w:rPr>
        <w:t>AG</w:t>
      </w:r>
      <w:r>
        <w:rPr>
          <w:spacing w:val="53"/>
          <w:sz w:val="25"/>
        </w:rPr>
        <w:t xml:space="preserve"> </w:t>
      </w:r>
      <w:r>
        <w:rPr>
          <w:sz w:val="25"/>
        </w:rPr>
        <w:t>&amp;</w:t>
      </w:r>
      <w:r>
        <w:rPr>
          <w:spacing w:val="56"/>
          <w:sz w:val="25"/>
        </w:rPr>
        <w:t xml:space="preserve"> </w:t>
      </w:r>
      <w:r>
        <w:rPr>
          <w:sz w:val="25"/>
        </w:rPr>
        <w:t>P</w:t>
      </w:r>
      <w:r>
        <w:rPr>
          <w:spacing w:val="53"/>
          <w:sz w:val="25"/>
        </w:rPr>
        <w:t xml:space="preserve"> </w:t>
      </w:r>
      <w:r>
        <w:rPr>
          <w:sz w:val="25"/>
        </w:rPr>
        <w:t>had</w:t>
      </w:r>
      <w:r>
        <w:rPr>
          <w:spacing w:val="54"/>
          <w:sz w:val="25"/>
        </w:rPr>
        <w:t xml:space="preserve"> </w:t>
      </w:r>
      <w:r>
        <w:rPr>
          <w:sz w:val="25"/>
        </w:rPr>
        <w:t>quoted</w:t>
      </w:r>
      <w:r>
        <w:rPr>
          <w:spacing w:val="55"/>
          <w:sz w:val="25"/>
        </w:rPr>
        <w:t xml:space="preserve"> </w:t>
      </w:r>
      <w:r>
        <w:rPr>
          <w:sz w:val="25"/>
        </w:rPr>
        <w:t>a</w:t>
      </w:r>
      <w:r>
        <w:rPr>
          <w:spacing w:val="55"/>
          <w:sz w:val="25"/>
        </w:rPr>
        <w:t xml:space="preserve"> </w:t>
      </w:r>
      <w:r>
        <w:rPr>
          <w:sz w:val="25"/>
        </w:rPr>
        <w:t>figure</w:t>
      </w:r>
      <w:r>
        <w:rPr>
          <w:spacing w:val="54"/>
          <w:sz w:val="25"/>
        </w:rPr>
        <w:t xml:space="preserve"> </w:t>
      </w:r>
      <w:r>
        <w:rPr>
          <w:sz w:val="25"/>
        </w:rPr>
        <w:t>of</w:t>
      </w:r>
      <w:r>
        <w:rPr>
          <w:spacing w:val="55"/>
          <w:sz w:val="25"/>
        </w:rPr>
        <w:t xml:space="preserve"> </w:t>
      </w:r>
      <w:r>
        <w:rPr>
          <w:sz w:val="25"/>
        </w:rPr>
        <w:t>11.51</w:t>
      </w:r>
      <w:r>
        <w:rPr>
          <w:spacing w:val="55"/>
          <w:sz w:val="25"/>
        </w:rPr>
        <w:t xml:space="preserve"> </w:t>
      </w:r>
      <w:r>
        <w:rPr>
          <w:sz w:val="25"/>
        </w:rPr>
        <w:t>lakh</w:t>
      </w:r>
      <w:r>
        <w:rPr>
          <w:spacing w:val="54"/>
          <w:sz w:val="25"/>
        </w:rPr>
        <w:t xml:space="preserve"> </w:t>
      </w:r>
      <w:r>
        <w:rPr>
          <w:sz w:val="25"/>
        </w:rPr>
        <w:t>in</w:t>
      </w:r>
      <w:r>
        <w:rPr>
          <w:spacing w:val="54"/>
          <w:sz w:val="25"/>
        </w:rPr>
        <w:t xml:space="preserve"> </w:t>
      </w:r>
      <w:r>
        <w:rPr>
          <w:sz w:val="25"/>
        </w:rPr>
        <w:t>its</w:t>
      </w:r>
      <w:r>
        <w:rPr>
          <w:spacing w:val="60"/>
          <w:sz w:val="25"/>
        </w:rPr>
        <w:t xml:space="preserve"> </w:t>
      </w:r>
      <w:r>
        <w:rPr>
          <w:sz w:val="25"/>
        </w:rPr>
        <w:t>bid</w:t>
      </w:r>
      <w:r>
        <w:rPr>
          <w:spacing w:val="54"/>
          <w:sz w:val="25"/>
        </w:rPr>
        <w:t xml:space="preserve"> </w:t>
      </w:r>
      <w:r>
        <w:rPr>
          <w:sz w:val="25"/>
        </w:rPr>
        <w:t>for</w:t>
      </w:r>
      <w:r>
        <w:rPr>
          <w:spacing w:val="55"/>
          <w:sz w:val="25"/>
        </w:rPr>
        <w:t xml:space="preserve"> </w:t>
      </w:r>
      <w:r>
        <w:rPr>
          <w:sz w:val="25"/>
        </w:rPr>
        <w:t>GA</w:t>
      </w:r>
      <w:r>
        <w:rPr>
          <w:spacing w:val="56"/>
          <w:sz w:val="25"/>
        </w:rPr>
        <w:t xml:space="preserve"> </w:t>
      </w:r>
      <w:r>
        <w:rPr>
          <w:sz w:val="25"/>
        </w:rPr>
        <w:t>61.</w:t>
      </w:r>
    </w:p>
    <w:p w:rsidR="008215AB" w:rsidRDefault="008215AB">
      <w:pPr>
        <w:pStyle w:val="BodyText"/>
      </w:pPr>
    </w:p>
    <w:p w:rsidR="008215AB" w:rsidRDefault="006513FA">
      <w:pPr>
        <w:pStyle w:val="BodyText"/>
        <w:spacing w:before="1" w:line="480" w:lineRule="auto"/>
        <w:ind w:left="1660" w:right="337"/>
        <w:jc w:val="both"/>
      </w:pPr>
      <w:r>
        <w:t>According to the 2011 Census figures, the number of households in GA 61 was only 10.06 lakhs. However, the Tamil Nadu Generation &amp; Distribution Corporation Limited (the state electricity board) noted that as of 2018, th</w:t>
      </w:r>
      <w:r>
        <w:t>ere existed 15.91 lakh households in GA</w:t>
      </w:r>
      <w:r>
        <w:rPr>
          <w:spacing w:val="-12"/>
        </w:rPr>
        <w:t xml:space="preserve"> </w:t>
      </w:r>
      <w:r>
        <w:t>61;</w:t>
      </w:r>
    </w:p>
    <w:p w:rsidR="008215AB" w:rsidRDefault="006513FA">
      <w:pPr>
        <w:pStyle w:val="ListParagraph"/>
        <w:numPr>
          <w:ilvl w:val="1"/>
          <w:numId w:val="4"/>
        </w:numPr>
        <w:tabs>
          <w:tab w:val="left" w:pos="1661"/>
        </w:tabs>
        <w:spacing w:line="480" w:lineRule="auto"/>
        <w:jc w:val="both"/>
        <w:rPr>
          <w:sz w:val="25"/>
        </w:rPr>
      </w:pPr>
      <w:r>
        <w:rPr>
          <w:sz w:val="25"/>
        </w:rPr>
        <w:t>In GA 37, Indian Oil Corporation had quoted a number of PNG connections below the 2% threshold and was the highest bidder. The Board awarded the GA to Bharat Gas Resource Limited, which had quoted above the 2% th</w:t>
      </w:r>
      <w:r>
        <w:rPr>
          <w:sz w:val="25"/>
        </w:rPr>
        <w:t>reshold. However, Indian Oil Corporation has not challenged this decision of the Board before the APTEL or any court, therefore the appellants cannot rely on the case of GA 37;</w:t>
      </w:r>
      <w:r>
        <w:rPr>
          <w:spacing w:val="-2"/>
          <w:sz w:val="25"/>
        </w:rPr>
        <w:t xml:space="preserve"> </w:t>
      </w:r>
      <w:r>
        <w:rPr>
          <w:sz w:val="25"/>
        </w:rPr>
        <w:t>and</w:t>
      </w:r>
    </w:p>
    <w:p w:rsidR="008215AB" w:rsidRDefault="006513FA">
      <w:pPr>
        <w:pStyle w:val="ListParagraph"/>
        <w:numPr>
          <w:ilvl w:val="1"/>
          <w:numId w:val="4"/>
        </w:numPr>
        <w:tabs>
          <w:tab w:val="left" w:pos="1661"/>
        </w:tabs>
        <w:spacing w:line="480" w:lineRule="auto"/>
        <w:ind w:right="339"/>
        <w:jc w:val="both"/>
        <w:rPr>
          <w:sz w:val="25"/>
        </w:rPr>
      </w:pPr>
      <w:r>
        <w:rPr>
          <w:sz w:val="25"/>
        </w:rPr>
        <w:t>Each GA is a separate tender having its own unique geographical and socio-e</w:t>
      </w:r>
      <w:r>
        <w:rPr>
          <w:sz w:val="25"/>
        </w:rPr>
        <w:t>conomic factors. Therefore, one cannot compare cases of other GAs with the GA of Kanchipuram where AG &amp; P LNG has been awarded the</w:t>
      </w:r>
      <w:r>
        <w:rPr>
          <w:spacing w:val="-2"/>
          <w:sz w:val="25"/>
        </w:rPr>
        <w:t xml:space="preserve"> </w:t>
      </w:r>
      <w:r>
        <w:rPr>
          <w:sz w:val="25"/>
        </w:rPr>
        <w:t>authorisation.</w:t>
      </w:r>
    </w:p>
    <w:p w:rsidR="008215AB" w:rsidRDefault="008215AB">
      <w:pPr>
        <w:pStyle w:val="BodyText"/>
        <w:spacing w:before="1"/>
      </w:pPr>
    </w:p>
    <w:p w:rsidR="008215AB" w:rsidRDefault="006513FA">
      <w:pPr>
        <w:pStyle w:val="ListParagraph"/>
        <w:numPr>
          <w:ilvl w:val="0"/>
          <w:numId w:val="4"/>
        </w:numPr>
        <w:tabs>
          <w:tab w:val="left" w:pos="941"/>
        </w:tabs>
        <w:spacing w:line="480" w:lineRule="auto"/>
        <w:ind w:right="334" w:firstLine="0"/>
        <w:jc w:val="both"/>
        <w:rPr>
          <w:sz w:val="25"/>
        </w:rPr>
      </w:pPr>
      <w:r>
        <w:rPr>
          <w:sz w:val="25"/>
        </w:rPr>
        <w:t>The submission which has been urged on behalf of the appellants in regard to the relevance of the 2011 census data must first and foremost be assessed in the context of the CGD Authorisation Regulations as amended on 6 April 2018. The Regulations postulate</w:t>
      </w:r>
      <w:r>
        <w:rPr>
          <w:sz w:val="25"/>
        </w:rPr>
        <w:t xml:space="preserve"> that bidders must submit both technical and financial bids. The procedure specified in Regulation 5 applies to an  invitation</w:t>
      </w:r>
      <w:r>
        <w:rPr>
          <w:spacing w:val="14"/>
          <w:sz w:val="25"/>
        </w:rPr>
        <w:t xml:space="preserve"> </w:t>
      </w:r>
      <w:r>
        <w:rPr>
          <w:sz w:val="25"/>
        </w:rPr>
        <w:t>by</w:t>
      </w:r>
      <w:r>
        <w:rPr>
          <w:spacing w:val="10"/>
          <w:sz w:val="25"/>
        </w:rPr>
        <w:t xml:space="preserve"> </w:t>
      </w:r>
      <w:r>
        <w:rPr>
          <w:sz w:val="25"/>
        </w:rPr>
        <w:t>the</w:t>
      </w:r>
      <w:r>
        <w:rPr>
          <w:spacing w:val="16"/>
          <w:sz w:val="25"/>
        </w:rPr>
        <w:t xml:space="preserve"> </w:t>
      </w:r>
      <w:r>
        <w:rPr>
          <w:sz w:val="25"/>
        </w:rPr>
        <w:t>Board</w:t>
      </w:r>
      <w:r>
        <w:rPr>
          <w:spacing w:val="13"/>
          <w:sz w:val="25"/>
        </w:rPr>
        <w:t xml:space="preserve"> </w:t>
      </w:r>
      <w:r>
        <w:rPr>
          <w:sz w:val="25"/>
        </w:rPr>
        <w:t>for</w:t>
      </w:r>
      <w:r>
        <w:rPr>
          <w:spacing w:val="14"/>
          <w:sz w:val="25"/>
        </w:rPr>
        <w:t xml:space="preserve"> </w:t>
      </w:r>
      <w:r>
        <w:rPr>
          <w:sz w:val="25"/>
        </w:rPr>
        <w:t>laying,</w:t>
      </w:r>
      <w:r>
        <w:rPr>
          <w:spacing w:val="16"/>
          <w:sz w:val="25"/>
        </w:rPr>
        <w:t xml:space="preserve"> </w:t>
      </w:r>
      <w:r>
        <w:rPr>
          <w:sz w:val="25"/>
        </w:rPr>
        <w:t>building,</w:t>
      </w:r>
      <w:r>
        <w:rPr>
          <w:spacing w:val="13"/>
          <w:sz w:val="25"/>
        </w:rPr>
        <w:t xml:space="preserve"> </w:t>
      </w:r>
      <w:r>
        <w:rPr>
          <w:sz w:val="25"/>
        </w:rPr>
        <w:t>operating</w:t>
      </w:r>
      <w:r>
        <w:rPr>
          <w:spacing w:val="13"/>
          <w:sz w:val="25"/>
        </w:rPr>
        <w:t xml:space="preserve"> </w:t>
      </w:r>
      <w:r>
        <w:rPr>
          <w:sz w:val="25"/>
        </w:rPr>
        <w:t>or</w:t>
      </w:r>
      <w:r>
        <w:rPr>
          <w:spacing w:val="14"/>
          <w:sz w:val="25"/>
        </w:rPr>
        <w:t xml:space="preserve"> </w:t>
      </w:r>
      <w:r>
        <w:rPr>
          <w:sz w:val="25"/>
        </w:rPr>
        <w:t>expanding</w:t>
      </w:r>
      <w:r>
        <w:rPr>
          <w:spacing w:val="14"/>
          <w:sz w:val="25"/>
        </w:rPr>
        <w:t xml:space="preserve"> </w:t>
      </w:r>
      <w:r>
        <w:rPr>
          <w:sz w:val="25"/>
        </w:rPr>
        <w:t>a</w:t>
      </w:r>
      <w:r>
        <w:rPr>
          <w:spacing w:val="12"/>
          <w:sz w:val="25"/>
        </w:rPr>
        <w:t xml:space="preserve"> </w:t>
      </w:r>
      <w:r>
        <w:rPr>
          <w:sz w:val="25"/>
        </w:rPr>
        <w:t>CDG</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4"/>
        <w:jc w:val="both"/>
      </w:pPr>
      <w:r>
        <w:t>network. Regulation 5(6) requires the fulfilmen</w:t>
      </w:r>
      <w:r>
        <w:t>t of minimum eligibility criteria. For a technical bid to pass muster, the minimum eligibility criteria require the bidder to be qualified both with reference to technical and financial parameters. This is evident from Regulation 5(6) under which the Board</w:t>
      </w:r>
      <w:r>
        <w:t xml:space="preserve"> is to scrutinise the bids of only those entities which fulfil the minimum eligibility criteria. The minimum eligibility criteria include the technical capability of the bidding entity to (i) lay and build; and (ii) operate and maintain a CGD network. Both</w:t>
      </w:r>
      <w:r>
        <w:t xml:space="preserve"> of them are defined with reference to qualifying criteria. Besides the technical criteria, the minimum eligibility requirements under Regulation 5(6)(e) incorporate the financial ability to execute the project and to operate and maintain it in the authori</w:t>
      </w:r>
      <w:r>
        <w:t>sed area. The financial criteria are defined with reference to the minimum net-worth of the bidding entity. The net-worth required is dependent on the population of the GA under the 2011 Census. The minimum net-worth required is specifically defined with r</w:t>
      </w:r>
      <w:r>
        <w:t>eference to the 2011 census figures of population for the GA. The bidding entity is also required to submit a bid bond in the form of a performance bond guarantee. The quantum of the guarantee is dependent on the population of the GA.</w:t>
      </w:r>
    </w:p>
    <w:p w:rsidR="008215AB" w:rsidRDefault="008215AB">
      <w:pPr>
        <w:pStyle w:val="BodyText"/>
      </w:pPr>
    </w:p>
    <w:p w:rsidR="008215AB" w:rsidRDefault="006513FA">
      <w:pPr>
        <w:pStyle w:val="ListParagraph"/>
        <w:numPr>
          <w:ilvl w:val="0"/>
          <w:numId w:val="4"/>
        </w:numPr>
        <w:tabs>
          <w:tab w:val="left" w:pos="941"/>
        </w:tabs>
        <w:spacing w:line="480" w:lineRule="auto"/>
        <w:ind w:firstLine="0"/>
        <w:jc w:val="both"/>
        <w:rPr>
          <w:sz w:val="25"/>
        </w:rPr>
      </w:pPr>
      <w:r>
        <w:rPr>
          <w:sz w:val="25"/>
        </w:rPr>
        <w:t>Regulation 7 requires the Board to tabulate all financial bids which meet the minimum eligibility criteria, in accordance with the bidding criteria specified in the table. The Table incorporated in the Regulation provides five-fold criteria for the tabulat</w:t>
      </w:r>
      <w:r>
        <w:rPr>
          <w:sz w:val="25"/>
        </w:rPr>
        <w:t>ion and comparison of financial bids. The five criteria</w:t>
      </w:r>
      <w:r>
        <w:rPr>
          <w:spacing w:val="-8"/>
          <w:sz w:val="25"/>
        </w:rPr>
        <w:t xml:space="preserve"> </w:t>
      </w:r>
      <w:r>
        <w:rPr>
          <w:sz w:val="25"/>
        </w:rPr>
        <w:t>are:</w:t>
      </w:r>
    </w:p>
    <w:p w:rsidR="008215AB" w:rsidRDefault="006513FA">
      <w:pPr>
        <w:pStyle w:val="ListParagraph"/>
        <w:numPr>
          <w:ilvl w:val="1"/>
          <w:numId w:val="4"/>
        </w:numPr>
        <w:tabs>
          <w:tab w:val="left" w:pos="1661"/>
        </w:tabs>
        <w:spacing w:before="2"/>
        <w:ind w:right="0" w:hanging="721"/>
        <w:jc w:val="both"/>
        <w:rPr>
          <w:sz w:val="25"/>
        </w:rPr>
      </w:pPr>
      <w:r>
        <w:rPr>
          <w:spacing w:val="-1"/>
          <w:w w:val="40"/>
          <w:sz w:val="25"/>
        </w:rPr>
        <w:t>‗</w:t>
      </w:r>
      <w:r>
        <w:rPr>
          <w:w w:val="99"/>
          <w:sz w:val="25"/>
        </w:rPr>
        <w:t>Lownes</w:t>
      </w:r>
      <w:r>
        <w:rPr>
          <w:spacing w:val="1"/>
          <w:w w:val="99"/>
          <w:sz w:val="25"/>
        </w:rPr>
        <w:t>s</w:t>
      </w:r>
      <w:r>
        <w:rPr>
          <w:w w:val="99"/>
          <w:sz w:val="25"/>
        </w:rPr>
        <w:t>‘</w:t>
      </w:r>
      <w:r>
        <w:rPr>
          <w:spacing w:val="-1"/>
          <w:sz w:val="25"/>
        </w:rPr>
        <w:t xml:space="preserve"> </w:t>
      </w:r>
      <w:r>
        <w:rPr>
          <w:w w:val="99"/>
          <w:sz w:val="25"/>
        </w:rPr>
        <w:t>of</w:t>
      </w:r>
      <w:r>
        <w:rPr>
          <w:sz w:val="25"/>
        </w:rPr>
        <w:t xml:space="preserve"> </w:t>
      </w:r>
      <w:r>
        <w:rPr>
          <w:w w:val="99"/>
          <w:sz w:val="25"/>
        </w:rPr>
        <w:t>transpor</w:t>
      </w:r>
      <w:r>
        <w:rPr>
          <w:spacing w:val="-3"/>
          <w:w w:val="99"/>
          <w:sz w:val="25"/>
        </w:rPr>
        <w:t>t</w:t>
      </w:r>
      <w:r>
        <w:rPr>
          <w:w w:val="99"/>
          <w:sz w:val="25"/>
        </w:rPr>
        <w:t>ation</w:t>
      </w:r>
      <w:r>
        <w:rPr>
          <w:spacing w:val="-1"/>
          <w:sz w:val="25"/>
        </w:rPr>
        <w:t xml:space="preserve"> </w:t>
      </w:r>
      <w:r>
        <w:rPr>
          <w:spacing w:val="1"/>
          <w:w w:val="99"/>
          <w:sz w:val="25"/>
        </w:rPr>
        <w:t>r</w:t>
      </w:r>
      <w:r>
        <w:rPr>
          <w:w w:val="99"/>
          <w:sz w:val="25"/>
        </w:rPr>
        <w:t>ate</w:t>
      </w:r>
      <w:r>
        <w:rPr>
          <w:sz w:val="25"/>
        </w:rPr>
        <w:t xml:space="preserve"> </w:t>
      </w:r>
      <w:r>
        <w:rPr>
          <w:w w:val="99"/>
          <w:sz w:val="25"/>
        </w:rPr>
        <w:t>for</w:t>
      </w:r>
      <w:r>
        <w:rPr>
          <w:sz w:val="25"/>
        </w:rPr>
        <w:t xml:space="preserve"> </w:t>
      </w:r>
      <w:r>
        <w:rPr>
          <w:w w:val="99"/>
          <w:sz w:val="25"/>
        </w:rPr>
        <w:t>CGD;</w:t>
      </w:r>
    </w:p>
    <w:p w:rsidR="008215AB" w:rsidRDefault="008215AB">
      <w:pPr>
        <w:pStyle w:val="BodyText"/>
        <w:spacing w:before="10"/>
        <w:rPr>
          <w:sz w:val="24"/>
        </w:rPr>
      </w:pPr>
    </w:p>
    <w:p w:rsidR="008215AB" w:rsidRDefault="006513FA">
      <w:pPr>
        <w:pStyle w:val="ListParagraph"/>
        <w:numPr>
          <w:ilvl w:val="1"/>
          <w:numId w:val="4"/>
        </w:numPr>
        <w:tabs>
          <w:tab w:val="left" w:pos="1661"/>
        </w:tabs>
        <w:ind w:right="0" w:hanging="721"/>
        <w:jc w:val="both"/>
        <w:rPr>
          <w:sz w:val="25"/>
        </w:rPr>
      </w:pPr>
      <w:r>
        <w:rPr>
          <w:spacing w:val="-1"/>
          <w:w w:val="40"/>
          <w:sz w:val="25"/>
        </w:rPr>
        <w:t>‗</w:t>
      </w:r>
      <w:r>
        <w:rPr>
          <w:w w:val="99"/>
          <w:sz w:val="25"/>
        </w:rPr>
        <w:t>Lownes</w:t>
      </w:r>
      <w:r>
        <w:rPr>
          <w:spacing w:val="1"/>
          <w:w w:val="99"/>
          <w:sz w:val="25"/>
        </w:rPr>
        <w:t>s</w:t>
      </w:r>
      <w:r>
        <w:rPr>
          <w:w w:val="99"/>
          <w:sz w:val="25"/>
        </w:rPr>
        <w:t>‘</w:t>
      </w:r>
      <w:r>
        <w:rPr>
          <w:spacing w:val="-1"/>
          <w:sz w:val="25"/>
        </w:rPr>
        <w:t xml:space="preserve"> </w:t>
      </w:r>
      <w:r>
        <w:rPr>
          <w:w w:val="99"/>
          <w:sz w:val="25"/>
        </w:rPr>
        <w:t>for</w:t>
      </w:r>
      <w:r>
        <w:rPr>
          <w:spacing w:val="1"/>
          <w:sz w:val="25"/>
        </w:rPr>
        <w:t xml:space="preserve"> </w:t>
      </w:r>
      <w:r>
        <w:rPr>
          <w:w w:val="99"/>
          <w:sz w:val="25"/>
        </w:rPr>
        <w:t>t</w:t>
      </w:r>
      <w:r>
        <w:rPr>
          <w:spacing w:val="1"/>
          <w:w w:val="99"/>
          <w:sz w:val="25"/>
        </w:rPr>
        <w:t>r</w:t>
      </w:r>
      <w:r>
        <w:rPr>
          <w:w w:val="99"/>
          <w:sz w:val="25"/>
        </w:rPr>
        <w:t>anspo</w:t>
      </w:r>
      <w:r>
        <w:rPr>
          <w:spacing w:val="-2"/>
          <w:w w:val="99"/>
          <w:sz w:val="25"/>
        </w:rPr>
        <w:t>r</w:t>
      </w:r>
      <w:r>
        <w:rPr>
          <w:w w:val="99"/>
          <w:sz w:val="25"/>
        </w:rPr>
        <w:t>tation</w:t>
      </w:r>
      <w:r>
        <w:rPr>
          <w:sz w:val="25"/>
        </w:rPr>
        <w:t xml:space="preserve"> </w:t>
      </w:r>
      <w:r>
        <w:rPr>
          <w:w w:val="99"/>
          <w:sz w:val="25"/>
        </w:rPr>
        <w:t>rate</w:t>
      </w:r>
      <w:r>
        <w:rPr>
          <w:sz w:val="25"/>
        </w:rPr>
        <w:t xml:space="preserve"> </w:t>
      </w:r>
      <w:r>
        <w:rPr>
          <w:w w:val="99"/>
          <w:sz w:val="25"/>
        </w:rPr>
        <w:t>for</w:t>
      </w:r>
      <w:r>
        <w:rPr>
          <w:sz w:val="25"/>
        </w:rPr>
        <w:t xml:space="preserve"> </w:t>
      </w:r>
      <w:r>
        <w:rPr>
          <w:w w:val="99"/>
          <w:sz w:val="25"/>
        </w:rPr>
        <w:t>CNG;</w:t>
      </w:r>
    </w:p>
    <w:p w:rsidR="008215AB" w:rsidRDefault="008215AB">
      <w:pPr>
        <w:jc w:val="both"/>
        <w:rPr>
          <w:sz w:val="25"/>
        </w:rPr>
        <w:sectPr w:rsidR="008215AB">
          <w:pgSz w:w="11910" w:h="16840"/>
          <w:pgMar w:top="1340" w:right="1100" w:bottom="1220" w:left="1220" w:header="0" w:footer="1034" w:gutter="0"/>
          <w:cols w:space="720"/>
        </w:sectPr>
      </w:pPr>
    </w:p>
    <w:p w:rsidR="008215AB" w:rsidRDefault="006513FA">
      <w:pPr>
        <w:pStyle w:val="ListParagraph"/>
        <w:numPr>
          <w:ilvl w:val="1"/>
          <w:numId w:val="4"/>
        </w:numPr>
        <w:tabs>
          <w:tab w:val="left" w:pos="1660"/>
          <w:tab w:val="left" w:pos="1661"/>
        </w:tabs>
        <w:spacing w:before="78" w:line="480" w:lineRule="auto"/>
        <w:ind w:right="342"/>
        <w:rPr>
          <w:sz w:val="25"/>
        </w:rPr>
      </w:pPr>
      <w:r>
        <w:rPr>
          <w:spacing w:val="-1"/>
          <w:w w:val="40"/>
          <w:sz w:val="25"/>
        </w:rPr>
        <w:t>‗</w:t>
      </w:r>
      <w:r>
        <w:rPr>
          <w:w w:val="99"/>
          <w:sz w:val="25"/>
        </w:rPr>
        <w:t>Highnes</w:t>
      </w:r>
      <w:r>
        <w:rPr>
          <w:spacing w:val="1"/>
          <w:w w:val="99"/>
          <w:sz w:val="25"/>
        </w:rPr>
        <w:t>s</w:t>
      </w:r>
      <w:r>
        <w:rPr>
          <w:w w:val="99"/>
          <w:sz w:val="25"/>
        </w:rPr>
        <w:t>‘</w:t>
      </w:r>
      <w:r>
        <w:rPr>
          <w:sz w:val="25"/>
        </w:rPr>
        <w:t xml:space="preserve"> </w:t>
      </w:r>
      <w:r>
        <w:rPr>
          <w:spacing w:val="-24"/>
          <w:sz w:val="25"/>
        </w:rPr>
        <w:t xml:space="preserve"> </w:t>
      </w:r>
      <w:r>
        <w:rPr>
          <w:w w:val="99"/>
          <w:sz w:val="25"/>
        </w:rPr>
        <w:t>of</w:t>
      </w:r>
      <w:r>
        <w:rPr>
          <w:sz w:val="25"/>
        </w:rPr>
        <w:t xml:space="preserve"> </w:t>
      </w:r>
      <w:r>
        <w:rPr>
          <w:spacing w:val="-24"/>
          <w:sz w:val="25"/>
        </w:rPr>
        <w:t xml:space="preserve"> </w:t>
      </w:r>
      <w:r>
        <w:rPr>
          <w:w w:val="99"/>
          <w:sz w:val="25"/>
        </w:rPr>
        <w:t>the</w:t>
      </w:r>
      <w:r>
        <w:rPr>
          <w:sz w:val="25"/>
        </w:rPr>
        <w:t xml:space="preserve"> </w:t>
      </w:r>
      <w:r>
        <w:rPr>
          <w:spacing w:val="-24"/>
          <w:sz w:val="25"/>
        </w:rPr>
        <w:t xml:space="preserve"> </w:t>
      </w:r>
      <w:r>
        <w:rPr>
          <w:w w:val="99"/>
          <w:sz w:val="25"/>
        </w:rPr>
        <w:t>number</w:t>
      </w:r>
      <w:r>
        <w:rPr>
          <w:sz w:val="25"/>
        </w:rPr>
        <w:t xml:space="preserve"> </w:t>
      </w:r>
      <w:r>
        <w:rPr>
          <w:spacing w:val="-24"/>
          <w:sz w:val="25"/>
        </w:rPr>
        <w:t xml:space="preserve"> </w:t>
      </w:r>
      <w:r>
        <w:rPr>
          <w:w w:val="99"/>
          <w:sz w:val="25"/>
        </w:rPr>
        <w:t>of</w:t>
      </w:r>
      <w:r>
        <w:rPr>
          <w:sz w:val="25"/>
        </w:rPr>
        <w:t xml:space="preserve"> </w:t>
      </w:r>
      <w:r>
        <w:rPr>
          <w:spacing w:val="-24"/>
          <w:sz w:val="25"/>
        </w:rPr>
        <w:t xml:space="preserve"> </w:t>
      </w:r>
      <w:r>
        <w:rPr>
          <w:w w:val="99"/>
          <w:sz w:val="25"/>
        </w:rPr>
        <w:t>CNG</w:t>
      </w:r>
      <w:r>
        <w:rPr>
          <w:sz w:val="25"/>
        </w:rPr>
        <w:t xml:space="preserve"> </w:t>
      </w:r>
      <w:r>
        <w:rPr>
          <w:spacing w:val="-25"/>
          <w:sz w:val="25"/>
        </w:rPr>
        <w:t xml:space="preserve"> </w:t>
      </w:r>
      <w:r>
        <w:rPr>
          <w:w w:val="99"/>
          <w:sz w:val="25"/>
        </w:rPr>
        <w:t>statio</w:t>
      </w:r>
      <w:r>
        <w:rPr>
          <w:spacing w:val="-2"/>
          <w:w w:val="99"/>
          <w:sz w:val="25"/>
        </w:rPr>
        <w:t>n</w:t>
      </w:r>
      <w:r>
        <w:rPr>
          <w:w w:val="99"/>
          <w:sz w:val="25"/>
        </w:rPr>
        <w:t>s</w:t>
      </w:r>
      <w:r>
        <w:rPr>
          <w:sz w:val="25"/>
        </w:rPr>
        <w:t xml:space="preserve"> </w:t>
      </w:r>
      <w:r>
        <w:rPr>
          <w:spacing w:val="-24"/>
          <w:sz w:val="25"/>
        </w:rPr>
        <w:t xml:space="preserve"> </w:t>
      </w:r>
      <w:r>
        <w:rPr>
          <w:w w:val="99"/>
          <w:sz w:val="25"/>
        </w:rPr>
        <w:t>to</w:t>
      </w:r>
      <w:r>
        <w:rPr>
          <w:sz w:val="25"/>
        </w:rPr>
        <w:t xml:space="preserve"> </w:t>
      </w:r>
      <w:r>
        <w:rPr>
          <w:spacing w:val="-24"/>
          <w:sz w:val="25"/>
        </w:rPr>
        <w:t xml:space="preserve"> </w:t>
      </w:r>
      <w:r>
        <w:rPr>
          <w:w w:val="99"/>
          <w:sz w:val="25"/>
        </w:rPr>
        <w:t>be</w:t>
      </w:r>
      <w:r>
        <w:rPr>
          <w:sz w:val="25"/>
        </w:rPr>
        <w:t xml:space="preserve"> </w:t>
      </w:r>
      <w:r>
        <w:rPr>
          <w:spacing w:val="-24"/>
          <w:sz w:val="25"/>
        </w:rPr>
        <w:t xml:space="preserve"> </w:t>
      </w:r>
      <w:r>
        <w:rPr>
          <w:w w:val="99"/>
          <w:sz w:val="25"/>
        </w:rPr>
        <w:t>installed</w:t>
      </w:r>
      <w:r>
        <w:rPr>
          <w:sz w:val="25"/>
        </w:rPr>
        <w:t xml:space="preserve"> </w:t>
      </w:r>
      <w:r>
        <w:rPr>
          <w:spacing w:val="-24"/>
          <w:sz w:val="25"/>
        </w:rPr>
        <w:t xml:space="preserve"> </w:t>
      </w:r>
      <w:r>
        <w:rPr>
          <w:w w:val="99"/>
          <w:sz w:val="25"/>
        </w:rPr>
        <w:t>in</w:t>
      </w:r>
      <w:r>
        <w:rPr>
          <w:sz w:val="25"/>
        </w:rPr>
        <w:t xml:space="preserve"> </w:t>
      </w:r>
      <w:r>
        <w:rPr>
          <w:spacing w:val="-24"/>
          <w:sz w:val="25"/>
        </w:rPr>
        <w:t xml:space="preserve"> </w:t>
      </w:r>
      <w:r>
        <w:rPr>
          <w:spacing w:val="-2"/>
          <w:w w:val="99"/>
          <w:sz w:val="25"/>
        </w:rPr>
        <w:t>e</w:t>
      </w:r>
      <w:r>
        <w:rPr>
          <w:w w:val="99"/>
          <w:sz w:val="25"/>
        </w:rPr>
        <w:t xml:space="preserve">ight </w:t>
      </w:r>
      <w:r>
        <w:rPr>
          <w:sz w:val="25"/>
        </w:rPr>
        <w:t>years from</w:t>
      </w:r>
      <w:r>
        <w:rPr>
          <w:spacing w:val="-2"/>
          <w:sz w:val="25"/>
        </w:rPr>
        <w:t xml:space="preserve"> </w:t>
      </w:r>
      <w:r>
        <w:rPr>
          <w:sz w:val="25"/>
        </w:rPr>
        <w:t>authorisation;</w:t>
      </w:r>
    </w:p>
    <w:p w:rsidR="008215AB" w:rsidRDefault="006513FA">
      <w:pPr>
        <w:pStyle w:val="ListParagraph"/>
        <w:numPr>
          <w:ilvl w:val="1"/>
          <w:numId w:val="4"/>
        </w:numPr>
        <w:tabs>
          <w:tab w:val="left" w:pos="1660"/>
          <w:tab w:val="left" w:pos="1661"/>
        </w:tabs>
        <w:spacing w:line="480" w:lineRule="auto"/>
        <w:ind w:right="343"/>
        <w:rPr>
          <w:sz w:val="25"/>
        </w:rPr>
      </w:pPr>
      <w:r>
        <w:rPr>
          <w:spacing w:val="-1"/>
          <w:w w:val="40"/>
          <w:sz w:val="25"/>
        </w:rPr>
        <w:t>‗</w:t>
      </w:r>
      <w:r>
        <w:rPr>
          <w:w w:val="99"/>
          <w:sz w:val="25"/>
        </w:rPr>
        <w:t>Highnes</w:t>
      </w:r>
      <w:r>
        <w:rPr>
          <w:spacing w:val="1"/>
          <w:w w:val="99"/>
          <w:sz w:val="25"/>
        </w:rPr>
        <w:t>s</w:t>
      </w:r>
      <w:r>
        <w:rPr>
          <w:w w:val="99"/>
          <w:sz w:val="25"/>
        </w:rPr>
        <w:t>‘</w:t>
      </w:r>
      <w:r>
        <w:rPr>
          <w:sz w:val="25"/>
        </w:rPr>
        <w:t xml:space="preserve"> </w:t>
      </w:r>
      <w:r>
        <w:rPr>
          <w:spacing w:val="21"/>
          <w:sz w:val="25"/>
        </w:rPr>
        <w:t xml:space="preserve"> </w:t>
      </w:r>
      <w:r>
        <w:rPr>
          <w:w w:val="99"/>
          <w:sz w:val="25"/>
        </w:rPr>
        <w:t>of</w:t>
      </w:r>
      <w:r>
        <w:rPr>
          <w:sz w:val="25"/>
        </w:rPr>
        <w:t xml:space="preserve"> </w:t>
      </w:r>
      <w:r>
        <w:rPr>
          <w:spacing w:val="22"/>
          <w:sz w:val="25"/>
        </w:rPr>
        <w:t xml:space="preserve"> </w:t>
      </w:r>
      <w:r>
        <w:rPr>
          <w:w w:val="99"/>
          <w:sz w:val="25"/>
        </w:rPr>
        <w:t>the</w:t>
      </w:r>
      <w:r>
        <w:rPr>
          <w:sz w:val="25"/>
        </w:rPr>
        <w:t xml:space="preserve"> </w:t>
      </w:r>
      <w:r>
        <w:rPr>
          <w:spacing w:val="24"/>
          <w:sz w:val="25"/>
        </w:rPr>
        <w:t xml:space="preserve"> </w:t>
      </w:r>
      <w:r>
        <w:rPr>
          <w:spacing w:val="2"/>
          <w:w w:val="99"/>
          <w:sz w:val="25"/>
        </w:rPr>
        <w:t>n</w:t>
      </w:r>
      <w:r>
        <w:rPr>
          <w:w w:val="99"/>
          <w:sz w:val="25"/>
        </w:rPr>
        <w:t>u</w:t>
      </w:r>
      <w:r>
        <w:rPr>
          <w:spacing w:val="1"/>
          <w:w w:val="99"/>
          <w:sz w:val="25"/>
        </w:rPr>
        <w:t>m</w:t>
      </w:r>
      <w:r>
        <w:rPr>
          <w:w w:val="99"/>
          <w:sz w:val="25"/>
        </w:rPr>
        <w:t>ber</w:t>
      </w:r>
      <w:r>
        <w:rPr>
          <w:sz w:val="25"/>
        </w:rPr>
        <w:t xml:space="preserve"> </w:t>
      </w:r>
      <w:r>
        <w:rPr>
          <w:spacing w:val="22"/>
          <w:sz w:val="25"/>
        </w:rPr>
        <w:t xml:space="preserve"> </w:t>
      </w:r>
      <w:r>
        <w:rPr>
          <w:w w:val="99"/>
          <w:sz w:val="25"/>
        </w:rPr>
        <w:t>of</w:t>
      </w:r>
      <w:r>
        <w:rPr>
          <w:sz w:val="25"/>
        </w:rPr>
        <w:t xml:space="preserve"> </w:t>
      </w:r>
      <w:r>
        <w:rPr>
          <w:spacing w:val="22"/>
          <w:sz w:val="25"/>
        </w:rPr>
        <w:t xml:space="preserve"> </w:t>
      </w:r>
      <w:r>
        <w:rPr>
          <w:w w:val="99"/>
          <w:sz w:val="25"/>
        </w:rPr>
        <w:t>domestic</w:t>
      </w:r>
      <w:r>
        <w:rPr>
          <w:sz w:val="25"/>
        </w:rPr>
        <w:t xml:space="preserve"> </w:t>
      </w:r>
      <w:r>
        <w:rPr>
          <w:spacing w:val="22"/>
          <w:sz w:val="25"/>
        </w:rPr>
        <w:t xml:space="preserve"> </w:t>
      </w:r>
      <w:r>
        <w:rPr>
          <w:spacing w:val="-1"/>
          <w:w w:val="99"/>
          <w:sz w:val="25"/>
        </w:rPr>
        <w:t>P</w:t>
      </w:r>
      <w:r>
        <w:rPr>
          <w:w w:val="99"/>
          <w:sz w:val="25"/>
        </w:rPr>
        <w:t>NG</w:t>
      </w:r>
      <w:r>
        <w:rPr>
          <w:sz w:val="25"/>
        </w:rPr>
        <w:t xml:space="preserve"> </w:t>
      </w:r>
      <w:r>
        <w:rPr>
          <w:spacing w:val="21"/>
          <w:sz w:val="25"/>
        </w:rPr>
        <w:t xml:space="preserve"> </w:t>
      </w:r>
      <w:r>
        <w:rPr>
          <w:w w:val="99"/>
          <w:sz w:val="25"/>
        </w:rPr>
        <w:t>connections</w:t>
      </w:r>
      <w:r>
        <w:rPr>
          <w:sz w:val="25"/>
        </w:rPr>
        <w:t xml:space="preserve"> </w:t>
      </w:r>
      <w:r>
        <w:rPr>
          <w:spacing w:val="23"/>
          <w:sz w:val="25"/>
        </w:rPr>
        <w:t xml:space="preserve"> </w:t>
      </w:r>
      <w:r>
        <w:rPr>
          <w:w w:val="99"/>
          <w:sz w:val="25"/>
        </w:rPr>
        <w:t>to</w:t>
      </w:r>
      <w:r>
        <w:rPr>
          <w:sz w:val="25"/>
        </w:rPr>
        <w:t xml:space="preserve"> </w:t>
      </w:r>
      <w:r>
        <w:rPr>
          <w:spacing w:val="24"/>
          <w:sz w:val="25"/>
        </w:rPr>
        <w:t xml:space="preserve"> </w:t>
      </w:r>
      <w:r>
        <w:rPr>
          <w:w w:val="99"/>
          <w:sz w:val="25"/>
        </w:rPr>
        <w:t xml:space="preserve">be </w:t>
      </w:r>
      <w:r>
        <w:rPr>
          <w:sz w:val="25"/>
        </w:rPr>
        <w:t>achieved within eight years of authorisation;</w:t>
      </w:r>
      <w:r>
        <w:rPr>
          <w:spacing w:val="-3"/>
          <w:sz w:val="25"/>
        </w:rPr>
        <w:t xml:space="preserve"> </w:t>
      </w:r>
      <w:r>
        <w:rPr>
          <w:sz w:val="25"/>
        </w:rPr>
        <w:t>and</w:t>
      </w:r>
    </w:p>
    <w:p w:rsidR="008215AB" w:rsidRDefault="006513FA">
      <w:pPr>
        <w:pStyle w:val="ListParagraph"/>
        <w:numPr>
          <w:ilvl w:val="1"/>
          <w:numId w:val="4"/>
        </w:numPr>
        <w:tabs>
          <w:tab w:val="left" w:pos="1660"/>
          <w:tab w:val="left" w:pos="1661"/>
        </w:tabs>
        <w:spacing w:line="480" w:lineRule="auto"/>
        <w:ind w:right="340"/>
        <w:rPr>
          <w:sz w:val="25"/>
        </w:rPr>
      </w:pPr>
      <w:r>
        <w:rPr>
          <w:spacing w:val="-1"/>
          <w:w w:val="40"/>
          <w:sz w:val="25"/>
        </w:rPr>
        <w:t>‗</w:t>
      </w:r>
      <w:r>
        <w:rPr>
          <w:w w:val="99"/>
          <w:sz w:val="25"/>
        </w:rPr>
        <w:t>Highnes</w:t>
      </w:r>
      <w:r>
        <w:rPr>
          <w:spacing w:val="1"/>
          <w:w w:val="99"/>
          <w:sz w:val="25"/>
        </w:rPr>
        <w:t>s</w:t>
      </w:r>
      <w:r>
        <w:rPr>
          <w:w w:val="99"/>
          <w:sz w:val="25"/>
        </w:rPr>
        <w:t>‘</w:t>
      </w:r>
      <w:r>
        <w:rPr>
          <w:spacing w:val="31"/>
          <w:sz w:val="25"/>
        </w:rPr>
        <w:t xml:space="preserve"> </w:t>
      </w:r>
      <w:r>
        <w:rPr>
          <w:w w:val="99"/>
          <w:sz w:val="25"/>
        </w:rPr>
        <w:t>of</w:t>
      </w:r>
      <w:r>
        <w:rPr>
          <w:spacing w:val="31"/>
          <w:sz w:val="25"/>
        </w:rPr>
        <w:t xml:space="preserve"> </w:t>
      </w:r>
      <w:r>
        <w:rPr>
          <w:w w:val="99"/>
          <w:sz w:val="25"/>
        </w:rPr>
        <w:t>inch-ki</w:t>
      </w:r>
      <w:r>
        <w:rPr>
          <w:spacing w:val="1"/>
          <w:w w:val="99"/>
          <w:sz w:val="25"/>
        </w:rPr>
        <w:t>l</w:t>
      </w:r>
      <w:r>
        <w:rPr>
          <w:w w:val="99"/>
          <w:sz w:val="25"/>
        </w:rPr>
        <w:t>o</w:t>
      </w:r>
      <w:r>
        <w:rPr>
          <w:spacing w:val="1"/>
          <w:w w:val="99"/>
          <w:sz w:val="25"/>
        </w:rPr>
        <w:t>m</w:t>
      </w:r>
      <w:r>
        <w:rPr>
          <w:w w:val="99"/>
          <w:sz w:val="25"/>
        </w:rPr>
        <w:t>et</w:t>
      </w:r>
      <w:r>
        <w:rPr>
          <w:spacing w:val="1"/>
          <w:w w:val="99"/>
          <w:sz w:val="25"/>
        </w:rPr>
        <w:t>r</w:t>
      </w:r>
      <w:r>
        <w:rPr>
          <w:w w:val="99"/>
          <w:sz w:val="25"/>
        </w:rPr>
        <w:t>e</w:t>
      </w:r>
      <w:r>
        <w:rPr>
          <w:spacing w:val="32"/>
          <w:sz w:val="25"/>
        </w:rPr>
        <w:t xml:space="preserve"> </w:t>
      </w:r>
      <w:r>
        <w:rPr>
          <w:w w:val="99"/>
          <w:sz w:val="25"/>
        </w:rPr>
        <w:t>of</w:t>
      </w:r>
      <w:r>
        <w:rPr>
          <w:spacing w:val="31"/>
          <w:sz w:val="25"/>
        </w:rPr>
        <w:t xml:space="preserve"> </w:t>
      </w:r>
      <w:r>
        <w:rPr>
          <w:w w:val="99"/>
          <w:sz w:val="25"/>
        </w:rPr>
        <w:t>steel</w:t>
      </w:r>
      <w:r>
        <w:rPr>
          <w:spacing w:val="30"/>
          <w:sz w:val="25"/>
        </w:rPr>
        <w:t xml:space="preserve"> </w:t>
      </w:r>
      <w:r>
        <w:rPr>
          <w:w w:val="99"/>
          <w:sz w:val="25"/>
        </w:rPr>
        <w:t>pipeline</w:t>
      </w:r>
      <w:r>
        <w:rPr>
          <w:spacing w:val="31"/>
          <w:sz w:val="25"/>
        </w:rPr>
        <w:t xml:space="preserve"> </w:t>
      </w:r>
      <w:r>
        <w:rPr>
          <w:w w:val="99"/>
          <w:sz w:val="25"/>
        </w:rPr>
        <w:t>to</w:t>
      </w:r>
      <w:r>
        <w:rPr>
          <w:spacing w:val="31"/>
          <w:sz w:val="25"/>
        </w:rPr>
        <w:t xml:space="preserve"> </w:t>
      </w:r>
      <w:r>
        <w:rPr>
          <w:w w:val="99"/>
          <w:sz w:val="25"/>
        </w:rPr>
        <w:t>be</w:t>
      </w:r>
      <w:r>
        <w:rPr>
          <w:spacing w:val="31"/>
          <w:sz w:val="25"/>
        </w:rPr>
        <w:t xml:space="preserve"> </w:t>
      </w:r>
      <w:r>
        <w:rPr>
          <w:w w:val="99"/>
          <w:sz w:val="25"/>
        </w:rPr>
        <w:t>laid</w:t>
      </w:r>
      <w:r>
        <w:rPr>
          <w:spacing w:val="31"/>
          <w:sz w:val="25"/>
        </w:rPr>
        <w:t xml:space="preserve"> </w:t>
      </w:r>
      <w:r>
        <w:rPr>
          <w:w w:val="99"/>
          <w:sz w:val="25"/>
        </w:rPr>
        <w:t>within</w:t>
      </w:r>
      <w:r>
        <w:rPr>
          <w:spacing w:val="31"/>
          <w:sz w:val="25"/>
        </w:rPr>
        <w:t xml:space="preserve"> </w:t>
      </w:r>
      <w:r>
        <w:rPr>
          <w:spacing w:val="2"/>
          <w:w w:val="99"/>
          <w:sz w:val="25"/>
        </w:rPr>
        <w:t>e</w:t>
      </w:r>
      <w:r>
        <w:rPr>
          <w:w w:val="99"/>
          <w:sz w:val="25"/>
        </w:rPr>
        <w:t xml:space="preserve">ight </w:t>
      </w:r>
      <w:r>
        <w:rPr>
          <w:sz w:val="25"/>
        </w:rPr>
        <w:t>years of</w:t>
      </w:r>
      <w:r>
        <w:rPr>
          <w:spacing w:val="-2"/>
          <w:sz w:val="25"/>
        </w:rPr>
        <w:t xml:space="preserve"> </w:t>
      </w:r>
      <w:r>
        <w:rPr>
          <w:sz w:val="25"/>
        </w:rPr>
        <w:t>authorisation.</w:t>
      </w:r>
    </w:p>
    <w:p w:rsidR="008215AB" w:rsidRDefault="006513FA">
      <w:pPr>
        <w:pStyle w:val="BodyText"/>
        <w:spacing w:before="201" w:line="480" w:lineRule="auto"/>
        <w:ind w:left="220" w:right="333"/>
        <w:jc w:val="both"/>
      </w:pPr>
      <w:r>
        <w:t xml:space="preserve">The third and fourth criteria together account for 70 per cent of the total </w:t>
      </w:r>
      <w:r>
        <w:rPr>
          <w:w w:val="99"/>
        </w:rPr>
        <w:t>co</w:t>
      </w:r>
      <w:r>
        <w:rPr>
          <w:spacing w:val="1"/>
          <w:w w:val="99"/>
        </w:rPr>
        <w:t>m</w:t>
      </w:r>
      <w:r>
        <w:rPr>
          <w:w w:val="99"/>
        </w:rPr>
        <w:t>posite</w:t>
      </w:r>
      <w:r>
        <w:rPr>
          <w:spacing w:val="17"/>
        </w:rPr>
        <w:t xml:space="preserve"> </w:t>
      </w:r>
      <w:r>
        <w:rPr>
          <w:w w:val="99"/>
        </w:rPr>
        <w:t>sco</w:t>
      </w:r>
      <w:r>
        <w:rPr>
          <w:spacing w:val="1"/>
          <w:w w:val="99"/>
        </w:rPr>
        <w:t>re</w:t>
      </w:r>
      <w:r>
        <w:rPr>
          <w:w w:val="99"/>
        </w:rPr>
        <w:t>.</w:t>
      </w:r>
      <w:r>
        <w:rPr>
          <w:spacing w:val="16"/>
        </w:rPr>
        <w:t xml:space="preserve"> </w:t>
      </w:r>
      <w:r>
        <w:rPr>
          <w:spacing w:val="-1"/>
          <w:w w:val="99"/>
        </w:rPr>
        <w:t>A</w:t>
      </w:r>
      <w:r>
        <w:rPr>
          <w:spacing w:val="3"/>
          <w:w w:val="99"/>
        </w:rPr>
        <w:t>m</w:t>
      </w:r>
      <w:r>
        <w:rPr>
          <w:w w:val="99"/>
        </w:rPr>
        <w:t>ong</w:t>
      </w:r>
      <w:r>
        <w:rPr>
          <w:spacing w:val="17"/>
        </w:rPr>
        <w:t xml:space="preserve"> </w:t>
      </w:r>
      <w:r>
        <w:rPr>
          <w:w w:val="99"/>
        </w:rPr>
        <w:t>them,</w:t>
      </w:r>
      <w:r>
        <w:rPr>
          <w:spacing w:val="16"/>
        </w:rPr>
        <w:t xml:space="preserve"> </w:t>
      </w:r>
      <w:r>
        <w:rPr>
          <w:w w:val="99"/>
        </w:rPr>
        <w:t>the</w:t>
      </w:r>
      <w:r>
        <w:rPr>
          <w:spacing w:val="17"/>
        </w:rPr>
        <w:t xml:space="preserve"> </w:t>
      </w:r>
      <w:r>
        <w:rPr>
          <w:w w:val="99"/>
        </w:rPr>
        <w:t>fourth</w:t>
      </w:r>
      <w:r>
        <w:rPr>
          <w:spacing w:val="17"/>
        </w:rPr>
        <w:t xml:space="preserve"> </w:t>
      </w:r>
      <w:r>
        <w:rPr>
          <w:w w:val="99"/>
        </w:rPr>
        <w:t>crite</w:t>
      </w:r>
      <w:r>
        <w:rPr>
          <w:spacing w:val="1"/>
          <w:w w:val="99"/>
        </w:rPr>
        <w:t>r</w:t>
      </w:r>
      <w:r>
        <w:rPr>
          <w:w w:val="99"/>
        </w:rPr>
        <w:t>ion</w:t>
      </w:r>
      <w:r>
        <w:rPr>
          <w:spacing w:val="22"/>
        </w:rPr>
        <w:t xml:space="preserve"> </w:t>
      </w:r>
      <w:r>
        <w:rPr>
          <w:w w:val="99"/>
        </w:rPr>
        <w:t>–</w:t>
      </w:r>
      <w:r>
        <w:rPr>
          <w:spacing w:val="17"/>
        </w:rPr>
        <w:t xml:space="preserve"> </w:t>
      </w:r>
      <w:r>
        <w:rPr>
          <w:spacing w:val="-1"/>
          <w:w w:val="40"/>
        </w:rPr>
        <w:t>‗</w:t>
      </w:r>
      <w:r>
        <w:rPr>
          <w:w w:val="99"/>
        </w:rPr>
        <w:t>highness‘</w:t>
      </w:r>
      <w:r>
        <w:rPr>
          <w:spacing w:val="19"/>
        </w:rPr>
        <w:t xml:space="preserve"> </w:t>
      </w:r>
      <w:r>
        <w:rPr>
          <w:w w:val="99"/>
        </w:rPr>
        <w:t>of</w:t>
      </w:r>
      <w:r>
        <w:rPr>
          <w:spacing w:val="17"/>
        </w:rPr>
        <w:t xml:space="preserve"> </w:t>
      </w:r>
      <w:r>
        <w:rPr>
          <w:w w:val="99"/>
        </w:rPr>
        <w:t>the</w:t>
      </w:r>
      <w:r>
        <w:rPr>
          <w:spacing w:val="17"/>
        </w:rPr>
        <w:t xml:space="preserve"> </w:t>
      </w:r>
      <w:r>
        <w:rPr>
          <w:w w:val="99"/>
        </w:rPr>
        <w:t>number</w:t>
      </w:r>
      <w:r>
        <w:rPr>
          <w:spacing w:val="17"/>
        </w:rPr>
        <w:t xml:space="preserve"> </w:t>
      </w:r>
      <w:r>
        <w:rPr>
          <w:w w:val="99"/>
        </w:rPr>
        <w:t xml:space="preserve">of </w:t>
      </w:r>
      <w:r>
        <w:t>domestic PNG connections accounts for 50 per cent of the total composite score. Significantly, the b</w:t>
      </w:r>
      <w:r>
        <w:t>idding criteria in Regulation 7 are not linked to the 2011 Census figures. There are two significant facets of Regulation</w:t>
      </w:r>
      <w:r>
        <w:rPr>
          <w:spacing w:val="-7"/>
        </w:rPr>
        <w:t xml:space="preserve"> </w:t>
      </w:r>
      <w:r>
        <w:t>7:</w:t>
      </w:r>
    </w:p>
    <w:p w:rsidR="008215AB" w:rsidRDefault="006513FA">
      <w:pPr>
        <w:pStyle w:val="ListParagraph"/>
        <w:numPr>
          <w:ilvl w:val="0"/>
          <w:numId w:val="1"/>
        </w:numPr>
        <w:tabs>
          <w:tab w:val="left" w:pos="1661"/>
        </w:tabs>
        <w:spacing w:before="1" w:line="480" w:lineRule="auto"/>
        <w:jc w:val="both"/>
        <w:rPr>
          <w:sz w:val="25"/>
        </w:rPr>
      </w:pPr>
      <w:r>
        <w:rPr>
          <w:sz w:val="25"/>
        </w:rPr>
        <w:t>The absence of a linkage of the projected number of domestic PNG connections with the 2011 Census data;</w:t>
      </w:r>
      <w:r>
        <w:rPr>
          <w:spacing w:val="-3"/>
          <w:sz w:val="25"/>
        </w:rPr>
        <w:t xml:space="preserve"> </w:t>
      </w:r>
      <w:r>
        <w:rPr>
          <w:sz w:val="25"/>
        </w:rPr>
        <w:t>and</w:t>
      </w:r>
    </w:p>
    <w:p w:rsidR="008215AB" w:rsidRDefault="006513FA">
      <w:pPr>
        <w:pStyle w:val="ListParagraph"/>
        <w:numPr>
          <w:ilvl w:val="0"/>
          <w:numId w:val="1"/>
        </w:numPr>
        <w:tabs>
          <w:tab w:val="left" w:pos="1661"/>
        </w:tabs>
        <w:spacing w:line="480" w:lineRule="auto"/>
        <w:ind w:right="346"/>
        <w:jc w:val="both"/>
        <w:rPr>
          <w:sz w:val="25"/>
        </w:rPr>
      </w:pPr>
      <w:r>
        <w:rPr>
          <w:sz w:val="25"/>
        </w:rPr>
        <w:t>The absence of a cap or ceiling on the ‗highness‘ norm both in relation to the third and the fourth criteria (iii and iv</w:t>
      </w:r>
      <w:r>
        <w:rPr>
          <w:spacing w:val="-5"/>
          <w:sz w:val="25"/>
        </w:rPr>
        <w:t xml:space="preserve"> </w:t>
      </w:r>
      <w:r>
        <w:rPr>
          <w:sz w:val="25"/>
        </w:rPr>
        <w:t>above).</w:t>
      </w:r>
    </w:p>
    <w:p w:rsidR="008215AB" w:rsidRDefault="008215AB">
      <w:pPr>
        <w:pStyle w:val="BodyText"/>
        <w:spacing w:before="11"/>
        <w:rPr>
          <w:sz w:val="24"/>
        </w:rPr>
      </w:pPr>
    </w:p>
    <w:p w:rsidR="008215AB" w:rsidRDefault="006513FA">
      <w:pPr>
        <w:pStyle w:val="ListParagraph"/>
        <w:numPr>
          <w:ilvl w:val="0"/>
          <w:numId w:val="4"/>
        </w:numPr>
        <w:tabs>
          <w:tab w:val="left" w:pos="941"/>
        </w:tabs>
        <w:spacing w:line="480" w:lineRule="auto"/>
        <w:ind w:right="335" w:firstLine="0"/>
        <w:jc w:val="both"/>
        <w:rPr>
          <w:sz w:val="25"/>
        </w:rPr>
      </w:pPr>
      <w:r>
        <w:rPr>
          <w:sz w:val="25"/>
        </w:rPr>
        <w:t>Regulation 7 (1)(b) requires the successful bidder to achieve the target in terms of an annual work programme within eight con</w:t>
      </w:r>
      <w:r>
        <w:rPr>
          <w:sz w:val="25"/>
        </w:rPr>
        <w:t>tract years. The programme is distributed between the first and eighth years for PNG connections‘, CNG stations‘ and Inch-kilometres of steel pipelines. For PNG connections, the successful bidder must complete 10 per cent of the work programme at the end o</w:t>
      </w:r>
      <w:r>
        <w:rPr>
          <w:sz w:val="25"/>
        </w:rPr>
        <w:t>f the second year, 20 per cent at the end of the third year, 30 per cent at the  end of fourth year, 40 per cent at the end of the fifth year, 60 per cent at the end of</w:t>
      </w:r>
      <w:r>
        <w:rPr>
          <w:spacing w:val="13"/>
          <w:sz w:val="25"/>
        </w:rPr>
        <w:t xml:space="preserve"> </w:t>
      </w:r>
      <w:r>
        <w:rPr>
          <w:sz w:val="25"/>
        </w:rPr>
        <w:t>the</w:t>
      </w:r>
      <w:r>
        <w:rPr>
          <w:spacing w:val="14"/>
          <w:sz w:val="25"/>
        </w:rPr>
        <w:t xml:space="preserve"> </w:t>
      </w:r>
      <w:r>
        <w:rPr>
          <w:sz w:val="25"/>
        </w:rPr>
        <w:t>sixth</w:t>
      </w:r>
      <w:r>
        <w:rPr>
          <w:spacing w:val="16"/>
          <w:sz w:val="25"/>
        </w:rPr>
        <w:t xml:space="preserve"> </w:t>
      </w:r>
      <w:r>
        <w:rPr>
          <w:sz w:val="25"/>
        </w:rPr>
        <w:t>year,</w:t>
      </w:r>
      <w:r>
        <w:rPr>
          <w:spacing w:val="13"/>
          <w:sz w:val="25"/>
        </w:rPr>
        <w:t xml:space="preserve"> </w:t>
      </w:r>
      <w:r>
        <w:rPr>
          <w:sz w:val="25"/>
        </w:rPr>
        <w:t>80</w:t>
      </w:r>
      <w:r>
        <w:rPr>
          <w:spacing w:val="13"/>
          <w:sz w:val="25"/>
        </w:rPr>
        <w:t xml:space="preserve"> </w:t>
      </w:r>
      <w:r>
        <w:rPr>
          <w:sz w:val="25"/>
        </w:rPr>
        <w:t>per</w:t>
      </w:r>
      <w:r>
        <w:rPr>
          <w:spacing w:val="14"/>
          <w:sz w:val="25"/>
        </w:rPr>
        <w:t xml:space="preserve"> </w:t>
      </w:r>
      <w:r>
        <w:rPr>
          <w:sz w:val="25"/>
        </w:rPr>
        <w:t>cent</w:t>
      </w:r>
      <w:r>
        <w:rPr>
          <w:spacing w:val="13"/>
          <w:sz w:val="25"/>
        </w:rPr>
        <w:t xml:space="preserve"> </w:t>
      </w:r>
      <w:r>
        <w:rPr>
          <w:sz w:val="25"/>
        </w:rPr>
        <w:t>at</w:t>
      </w:r>
      <w:r>
        <w:rPr>
          <w:spacing w:val="13"/>
          <w:sz w:val="25"/>
        </w:rPr>
        <w:t xml:space="preserve"> </w:t>
      </w:r>
      <w:r>
        <w:rPr>
          <w:sz w:val="25"/>
        </w:rPr>
        <w:t>the</w:t>
      </w:r>
      <w:r>
        <w:rPr>
          <w:spacing w:val="14"/>
          <w:sz w:val="25"/>
        </w:rPr>
        <w:t xml:space="preserve"> </w:t>
      </w:r>
      <w:r>
        <w:rPr>
          <w:sz w:val="25"/>
        </w:rPr>
        <w:t>end</w:t>
      </w:r>
      <w:r>
        <w:rPr>
          <w:spacing w:val="13"/>
          <w:sz w:val="25"/>
        </w:rPr>
        <w:t xml:space="preserve"> </w:t>
      </w:r>
      <w:r>
        <w:rPr>
          <w:sz w:val="25"/>
        </w:rPr>
        <w:t>of</w:t>
      </w:r>
      <w:r>
        <w:rPr>
          <w:spacing w:val="13"/>
          <w:sz w:val="25"/>
        </w:rPr>
        <w:t xml:space="preserve"> </w:t>
      </w:r>
      <w:r>
        <w:rPr>
          <w:sz w:val="25"/>
        </w:rPr>
        <w:t>the</w:t>
      </w:r>
      <w:r>
        <w:rPr>
          <w:spacing w:val="14"/>
          <w:sz w:val="25"/>
        </w:rPr>
        <w:t xml:space="preserve"> </w:t>
      </w:r>
      <w:r>
        <w:rPr>
          <w:sz w:val="25"/>
        </w:rPr>
        <w:t>seventh</w:t>
      </w:r>
      <w:r>
        <w:rPr>
          <w:spacing w:val="16"/>
          <w:sz w:val="25"/>
        </w:rPr>
        <w:t xml:space="preserve"> </w:t>
      </w:r>
      <w:r>
        <w:rPr>
          <w:sz w:val="25"/>
        </w:rPr>
        <w:t>year</w:t>
      </w:r>
      <w:r>
        <w:rPr>
          <w:spacing w:val="14"/>
          <w:sz w:val="25"/>
        </w:rPr>
        <w:t xml:space="preserve"> </w:t>
      </w:r>
      <w:r>
        <w:rPr>
          <w:sz w:val="25"/>
        </w:rPr>
        <w:t>and</w:t>
      </w:r>
      <w:r>
        <w:rPr>
          <w:spacing w:val="13"/>
          <w:sz w:val="25"/>
        </w:rPr>
        <w:t xml:space="preserve"> </w:t>
      </w:r>
      <w:r>
        <w:rPr>
          <w:sz w:val="25"/>
        </w:rPr>
        <w:t>100</w:t>
      </w:r>
      <w:r>
        <w:rPr>
          <w:spacing w:val="13"/>
          <w:sz w:val="25"/>
        </w:rPr>
        <w:t xml:space="preserve"> </w:t>
      </w:r>
      <w:r>
        <w:rPr>
          <w:sz w:val="25"/>
        </w:rPr>
        <w:t>per</w:t>
      </w:r>
      <w:r>
        <w:rPr>
          <w:spacing w:val="14"/>
          <w:sz w:val="25"/>
        </w:rPr>
        <w:t xml:space="preserve"> </w:t>
      </w:r>
      <w:r>
        <w:rPr>
          <w:sz w:val="25"/>
        </w:rPr>
        <w:t>cent</w:t>
      </w:r>
      <w:r>
        <w:rPr>
          <w:spacing w:val="13"/>
          <w:sz w:val="25"/>
        </w:rPr>
        <w:t xml:space="preserve"> </w:t>
      </w:r>
      <w:r>
        <w:rPr>
          <w:sz w:val="25"/>
        </w:rPr>
        <w:t>at</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4"/>
        <w:jc w:val="both"/>
      </w:pPr>
      <w:r>
        <w:t>the end of the eighth year. Under Regulation 7(3), a bidding entity with the highest composite score in terms of the criteria specified in sub-regulation (1) of Regulation 7 is to be declared as the successful</w:t>
      </w:r>
      <w:r>
        <w:rPr>
          <w:spacing w:val="-4"/>
        </w:rPr>
        <w:t xml:space="preserve"> </w:t>
      </w:r>
      <w:r>
        <w:t>bidder.</w:t>
      </w:r>
    </w:p>
    <w:p w:rsidR="008215AB" w:rsidRDefault="008215AB">
      <w:pPr>
        <w:pStyle w:val="BodyText"/>
        <w:spacing w:before="10"/>
        <w:rPr>
          <w:sz w:val="24"/>
        </w:rPr>
      </w:pPr>
    </w:p>
    <w:p w:rsidR="008215AB" w:rsidRDefault="006513FA">
      <w:pPr>
        <w:pStyle w:val="ListParagraph"/>
        <w:numPr>
          <w:ilvl w:val="0"/>
          <w:numId w:val="4"/>
        </w:numPr>
        <w:tabs>
          <w:tab w:val="left" w:pos="941"/>
        </w:tabs>
        <w:spacing w:line="480" w:lineRule="auto"/>
        <w:ind w:right="334" w:firstLine="0"/>
        <w:jc w:val="both"/>
        <w:rPr>
          <w:sz w:val="25"/>
        </w:rPr>
      </w:pPr>
      <w:r>
        <w:rPr>
          <w:sz w:val="25"/>
        </w:rPr>
        <w:t>The provisions con</w:t>
      </w:r>
      <w:r>
        <w:rPr>
          <w:sz w:val="25"/>
        </w:rPr>
        <w:t xml:space="preserve">tained in the 2008 CGD Authorisation Regulations, as amended on 6 April 2018, indicate that where a specific linkage was sought with reference to the 2011 Census data, a clear and categorical provision was made to that effect. Such provisions are found in </w:t>
      </w:r>
      <w:r>
        <w:rPr>
          <w:sz w:val="25"/>
        </w:rPr>
        <w:t>regard to the financial capability of a bidder as part of the minimum eligibility criteria in Regulation 5(6)(e) and the extent of the performance bond in Regulation</w:t>
      </w:r>
      <w:r>
        <w:rPr>
          <w:spacing w:val="-6"/>
          <w:sz w:val="25"/>
        </w:rPr>
        <w:t xml:space="preserve"> </w:t>
      </w:r>
      <w:r>
        <w:rPr>
          <w:sz w:val="25"/>
        </w:rPr>
        <w:t>5(6)(h).</w:t>
      </w:r>
    </w:p>
    <w:p w:rsidR="008215AB" w:rsidRDefault="008215AB">
      <w:pPr>
        <w:pStyle w:val="BodyText"/>
        <w:spacing w:before="2"/>
      </w:pPr>
    </w:p>
    <w:p w:rsidR="008215AB" w:rsidRDefault="006513FA">
      <w:pPr>
        <w:pStyle w:val="ListParagraph"/>
        <w:numPr>
          <w:ilvl w:val="0"/>
          <w:numId w:val="4"/>
        </w:numPr>
        <w:tabs>
          <w:tab w:val="left" w:pos="941"/>
        </w:tabs>
        <w:spacing w:before="1" w:line="480" w:lineRule="auto"/>
        <w:ind w:right="334" w:firstLine="0"/>
        <w:jc w:val="both"/>
        <w:rPr>
          <w:sz w:val="25"/>
        </w:rPr>
      </w:pPr>
      <w:r>
        <w:rPr>
          <w:spacing w:val="-1"/>
          <w:w w:val="99"/>
          <w:sz w:val="25"/>
        </w:rPr>
        <w:t>A</w:t>
      </w:r>
      <w:r>
        <w:rPr>
          <w:w w:val="99"/>
          <w:sz w:val="25"/>
        </w:rPr>
        <w:t>bsent</w:t>
      </w:r>
      <w:r>
        <w:rPr>
          <w:spacing w:val="19"/>
          <w:sz w:val="25"/>
        </w:rPr>
        <w:t xml:space="preserve"> </w:t>
      </w:r>
      <w:r>
        <w:rPr>
          <w:w w:val="99"/>
          <w:sz w:val="25"/>
        </w:rPr>
        <w:t>a</w:t>
      </w:r>
      <w:r>
        <w:rPr>
          <w:spacing w:val="19"/>
          <w:sz w:val="25"/>
        </w:rPr>
        <w:t xml:space="preserve"> </w:t>
      </w:r>
      <w:r>
        <w:rPr>
          <w:w w:val="99"/>
          <w:sz w:val="25"/>
        </w:rPr>
        <w:t>condition</w:t>
      </w:r>
      <w:r>
        <w:rPr>
          <w:spacing w:val="22"/>
          <w:sz w:val="25"/>
        </w:rPr>
        <w:t xml:space="preserve"> </w:t>
      </w:r>
      <w:r>
        <w:rPr>
          <w:w w:val="99"/>
          <w:sz w:val="25"/>
        </w:rPr>
        <w:t>in</w:t>
      </w:r>
      <w:r>
        <w:rPr>
          <w:spacing w:val="21"/>
          <w:sz w:val="25"/>
        </w:rPr>
        <w:t xml:space="preserve"> </w:t>
      </w:r>
      <w:r>
        <w:rPr>
          <w:w w:val="99"/>
          <w:sz w:val="25"/>
        </w:rPr>
        <w:t>Regulation</w:t>
      </w:r>
      <w:r>
        <w:rPr>
          <w:spacing w:val="19"/>
          <w:sz w:val="25"/>
        </w:rPr>
        <w:t xml:space="preserve"> </w:t>
      </w:r>
      <w:r>
        <w:rPr>
          <w:w w:val="99"/>
          <w:sz w:val="25"/>
        </w:rPr>
        <w:t>7</w:t>
      </w:r>
      <w:r>
        <w:rPr>
          <w:spacing w:val="21"/>
          <w:sz w:val="25"/>
        </w:rPr>
        <w:t xml:space="preserve"> </w:t>
      </w:r>
      <w:r>
        <w:rPr>
          <w:w w:val="99"/>
          <w:sz w:val="25"/>
        </w:rPr>
        <w:t>linking</w:t>
      </w:r>
      <w:r>
        <w:rPr>
          <w:spacing w:val="22"/>
          <w:sz w:val="25"/>
        </w:rPr>
        <w:t xml:space="preserve"> </w:t>
      </w:r>
      <w:r>
        <w:rPr>
          <w:w w:val="99"/>
          <w:sz w:val="25"/>
        </w:rPr>
        <w:t>the</w:t>
      </w:r>
      <w:r>
        <w:rPr>
          <w:spacing w:val="25"/>
          <w:sz w:val="25"/>
        </w:rPr>
        <w:t xml:space="preserve"> </w:t>
      </w:r>
      <w:r>
        <w:rPr>
          <w:spacing w:val="-1"/>
          <w:w w:val="40"/>
          <w:sz w:val="25"/>
        </w:rPr>
        <w:t>‗</w:t>
      </w:r>
      <w:r>
        <w:rPr>
          <w:w w:val="99"/>
          <w:sz w:val="25"/>
        </w:rPr>
        <w:t>highness‘</w:t>
      </w:r>
      <w:r>
        <w:rPr>
          <w:spacing w:val="19"/>
          <w:sz w:val="25"/>
        </w:rPr>
        <w:t xml:space="preserve"> </w:t>
      </w:r>
      <w:r>
        <w:rPr>
          <w:w w:val="99"/>
          <w:sz w:val="25"/>
        </w:rPr>
        <w:t>of</w:t>
      </w:r>
      <w:r>
        <w:rPr>
          <w:spacing w:val="19"/>
          <w:sz w:val="25"/>
        </w:rPr>
        <w:t xml:space="preserve"> </w:t>
      </w:r>
      <w:r>
        <w:rPr>
          <w:w w:val="99"/>
          <w:sz w:val="25"/>
        </w:rPr>
        <w:t>the</w:t>
      </w:r>
      <w:r>
        <w:rPr>
          <w:spacing w:val="24"/>
          <w:sz w:val="25"/>
        </w:rPr>
        <w:t xml:space="preserve"> </w:t>
      </w:r>
      <w:r>
        <w:rPr>
          <w:w w:val="99"/>
          <w:sz w:val="25"/>
        </w:rPr>
        <w:t>number</w:t>
      </w:r>
      <w:r>
        <w:rPr>
          <w:spacing w:val="19"/>
          <w:sz w:val="25"/>
        </w:rPr>
        <w:t xml:space="preserve"> </w:t>
      </w:r>
      <w:r>
        <w:rPr>
          <w:w w:val="99"/>
          <w:sz w:val="25"/>
        </w:rPr>
        <w:t xml:space="preserve">of </w:t>
      </w:r>
      <w:r>
        <w:rPr>
          <w:sz w:val="25"/>
        </w:rPr>
        <w:t>PNG connections to be achieved within eight years from the date of authorisation with the 2011 Census data, it would be contrary to basic principles of interpretation to read such a restriction into the CGD Authorisation Regulations. A conditionality which</w:t>
      </w:r>
      <w:r>
        <w:rPr>
          <w:sz w:val="25"/>
        </w:rPr>
        <w:t xml:space="preserve"> has not been incorporated in Regulation 7 cannot be introduced as a matter of construction. The court must first and foremost read the Regulation in accordance with its plain and natural meaning. There is evidently a reason why Regulation 7 did not introd</w:t>
      </w:r>
      <w:r>
        <w:rPr>
          <w:sz w:val="25"/>
        </w:rPr>
        <w:t>uce a ceiling or provide for a linkage with the Census data of 2011. Consumers or users, as the case may be, in a CGD network broadly comprise of four categories</w:t>
      </w:r>
      <w:r>
        <w:rPr>
          <w:spacing w:val="-10"/>
          <w:sz w:val="25"/>
        </w:rPr>
        <w:t xml:space="preserve"> </w:t>
      </w:r>
      <w:r>
        <w:rPr>
          <w:sz w:val="25"/>
        </w:rPr>
        <w:t>namely:</w:t>
      </w:r>
    </w:p>
    <w:p w:rsidR="008215AB" w:rsidRDefault="006513FA">
      <w:pPr>
        <w:pStyle w:val="ListParagraph"/>
        <w:numPr>
          <w:ilvl w:val="1"/>
          <w:numId w:val="4"/>
        </w:numPr>
        <w:tabs>
          <w:tab w:val="left" w:pos="1660"/>
          <w:tab w:val="left" w:pos="1661"/>
        </w:tabs>
        <w:spacing w:line="287" w:lineRule="exact"/>
        <w:ind w:right="0" w:hanging="721"/>
        <w:rPr>
          <w:sz w:val="25"/>
        </w:rPr>
      </w:pPr>
      <w:r>
        <w:rPr>
          <w:sz w:val="25"/>
        </w:rPr>
        <w:t>Domestic;</w:t>
      </w:r>
    </w:p>
    <w:p w:rsidR="008215AB" w:rsidRDefault="008215AB">
      <w:pPr>
        <w:pStyle w:val="BodyText"/>
      </w:pPr>
    </w:p>
    <w:p w:rsidR="008215AB" w:rsidRDefault="006513FA">
      <w:pPr>
        <w:pStyle w:val="ListParagraph"/>
        <w:numPr>
          <w:ilvl w:val="1"/>
          <w:numId w:val="4"/>
        </w:numPr>
        <w:tabs>
          <w:tab w:val="left" w:pos="1660"/>
          <w:tab w:val="left" w:pos="1661"/>
        </w:tabs>
        <w:spacing w:before="1"/>
        <w:ind w:right="0" w:hanging="721"/>
        <w:rPr>
          <w:sz w:val="25"/>
        </w:rPr>
      </w:pPr>
      <w:r>
        <w:rPr>
          <w:sz w:val="25"/>
        </w:rPr>
        <w:t>Commercial;</w:t>
      </w:r>
    </w:p>
    <w:p w:rsidR="008215AB" w:rsidRDefault="008215AB">
      <w:pPr>
        <w:pStyle w:val="BodyText"/>
        <w:spacing w:before="10"/>
        <w:rPr>
          <w:sz w:val="24"/>
        </w:rPr>
      </w:pPr>
    </w:p>
    <w:p w:rsidR="008215AB" w:rsidRDefault="006513FA">
      <w:pPr>
        <w:pStyle w:val="ListParagraph"/>
        <w:numPr>
          <w:ilvl w:val="1"/>
          <w:numId w:val="4"/>
        </w:numPr>
        <w:tabs>
          <w:tab w:val="left" w:pos="1660"/>
          <w:tab w:val="left" w:pos="1661"/>
        </w:tabs>
        <w:ind w:right="0" w:hanging="721"/>
        <w:rPr>
          <w:sz w:val="25"/>
        </w:rPr>
      </w:pPr>
      <w:r>
        <w:rPr>
          <w:sz w:val="25"/>
        </w:rPr>
        <w:t>Industrial;</w:t>
      </w:r>
      <w:r>
        <w:rPr>
          <w:spacing w:val="-2"/>
          <w:sz w:val="25"/>
        </w:rPr>
        <w:t xml:space="preserve"> </w:t>
      </w:r>
      <w:r>
        <w:rPr>
          <w:sz w:val="25"/>
        </w:rPr>
        <w:t>and</w:t>
      </w:r>
    </w:p>
    <w:p w:rsidR="008215AB" w:rsidRDefault="008215AB">
      <w:pPr>
        <w:pStyle w:val="BodyText"/>
        <w:spacing w:before="1"/>
      </w:pPr>
    </w:p>
    <w:p w:rsidR="008215AB" w:rsidRDefault="006513FA">
      <w:pPr>
        <w:pStyle w:val="ListParagraph"/>
        <w:numPr>
          <w:ilvl w:val="1"/>
          <w:numId w:val="4"/>
        </w:numPr>
        <w:tabs>
          <w:tab w:val="left" w:pos="1660"/>
          <w:tab w:val="left" w:pos="1661"/>
        </w:tabs>
        <w:ind w:right="0" w:hanging="721"/>
        <w:rPr>
          <w:sz w:val="25"/>
        </w:rPr>
      </w:pPr>
      <w:r>
        <w:rPr>
          <w:sz w:val="25"/>
        </w:rPr>
        <w:t>Vehicular.</w:t>
      </w:r>
    </w:p>
    <w:p w:rsidR="008215AB" w:rsidRDefault="008215AB">
      <w:pPr>
        <w:rPr>
          <w:sz w:val="25"/>
        </w:rPr>
        <w:sectPr w:rsidR="008215AB">
          <w:pgSz w:w="11910" w:h="16840"/>
          <w:pgMar w:top="1340" w:right="1100" w:bottom="1220" w:left="1220" w:header="0" w:footer="1034" w:gutter="0"/>
          <w:cols w:space="720"/>
        </w:sectPr>
      </w:pPr>
    </w:p>
    <w:p w:rsidR="008215AB" w:rsidRDefault="006513FA">
      <w:pPr>
        <w:pStyle w:val="ListParagraph"/>
        <w:numPr>
          <w:ilvl w:val="0"/>
          <w:numId w:val="4"/>
        </w:numPr>
        <w:tabs>
          <w:tab w:val="left" w:pos="941"/>
        </w:tabs>
        <w:spacing w:before="78" w:line="480" w:lineRule="auto"/>
        <w:ind w:right="334" w:firstLine="0"/>
        <w:jc w:val="both"/>
        <w:rPr>
          <w:sz w:val="25"/>
        </w:rPr>
      </w:pPr>
      <w:r>
        <w:rPr>
          <w:sz w:val="25"/>
        </w:rPr>
        <w:t>The Board has su</w:t>
      </w:r>
      <w:r>
        <w:rPr>
          <w:sz w:val="25"/>
        </w:rPr>
        <w:t>bmitted with justification that in a model of cross/subsidisation, the viability of the project has to be perceived from a twenty- five-year perspective. Gains in one category of users can offset the losses in another category. The CGD Authorisation Regula</w:t>
      </w:r>
      <w:r>
        <w:rPr>
          <w:sz w:val="25"/>
        </w:rPr>
        <w:t>tions are intended to subserve the object of establishing the infrastructure necessary for setting up an operational CGD network. In creating the infrastructure, the successful entity is contractually bound to set up a project for the future. The infrastru</w:t>
      </w:r>
      <w:r>
        <w:rPr>
          <w:sz w:val="25"/>
        </w:rPr>
        <w:t>cture so created would be of service to consumers or, as the case may be, users. Infrastructural projects cater to future needs and can legitimately be forward looking. It is from this perspective that except for the tariff in the first two bidding criteri</w:t>
      </w:r>
      <w:r>
        <w:rPr>
          <w:sz w:val="25"/>
        </w:rPr>
        <w:t>a of Regulation 7 (the transportation rates for CGD and CNG), no ceiling was provided by the Board for the criteria set out in Regulation 7. More particularly, Regulation 7(3) provided for a mandate to tabulate and compare the bids of all entities which ha</w:t>
      </w:r>
      <w:r>
        <w:rPr>
          <w:sz w:val="25"/>
        </w:rPr>
        <w:t>d met the minimum eligibility criteria upon their qualifying in a competitive bidding process. The Regulations did not contemplate the disqualification of a bidder with reference to a norm which would limit a bid to 100 per cent of the population figures p</w:t>
      </w:r>
      <w:r>
        <w:rPr>
          <w:sz w:val="25"/>
        </w:rPr>
        <w:t>rovided by the 2011 Census data. For the Board to stipulate an absolute norm to that effect, when it has not been specifically incorporated in the Regulations would have rendered the decision making process vulnerable to a challenge on the ground that it w</w:t>
      </w:r>
      <w:r>
        <w:rPr>
          <w:sz w:val="25"/>
        </w:rPr>
        <w:t>as not consistent with Regulation</w:t>
      </w:r>
      <w:r>
        <w:rPr>
          <w:spacing w:val="-2"/>
          <w:sz w:val="25"/>
        </w:rPr>
        <w:t xml:space="preserve"> </w:t>
      </w:r>
      <w:r>
        <w:rPr>
          <w:sz w:val="25"/>
        </w:rPr>
        <w:t>7.</w:t>
      </w:r>
    </w:p>
    <w:p w:rsidR="008215AB" w:rsidRDefault="008215AB">
      <w:pPr>
        <w:pStyle w:val="BodyText"/>
        <w:spacing w:before="2"/>
      </w:pPr>
    </w:p>
    <w:p w:rsidR="008215AB" w:rsidRDefault="006513FA">
      <w:pPr>
        <w:pStyle w:val="ListParagraph"/>
        <w:numPr>
          <w:ilvl w:val="0"/>
          <w:numId w:val="4"/>
        </w:numPr>
        <w:tabs>
          <w:tab w:val="left" w:pos="941"/>
        </w:tabs>
        <w:spacing w:line="480" w:lineRule="auto"/>
        <w:ind w:right="339" w:firstLine="0"/>
        <w:jc w:val="both"/>
        <w:rPr>
          <w:sz w:val="25"/>
        </w:rPr>
      </w:pPr>
      <w:r>
        <w:rPr>
          <w:sz w:val="25"/>
        </w:rPr>
        <w:t>Now it is in this background, that it becomes necessary to evaluate the Bid Document. Clause 1.1.1 incorporates a reference to the GA as depicted in the map</w:t>
      </w:r>
      <w:r>
        <w:rPr>
          <w:spacing w:val="13"/>
          <w:sz w:val="25"/>
        </w:rPr>
        <w:t xml:space="preserve"> </w:t>
      </w:r>
      <w:r>
        <w:rPr>
          <w:sz w:val="25"/>
        </w:rPr>
        <w:t>set</w:t>
      </w:r>
      <w:r>
        <w:rPr>
          <w:spacing w:val="13"/>
          <w:sz w:val="25"/>
        </w:rPr>
        <w:t xml:space="preserve"> </w:t>
      </w:r>
      <w:r>
        <w:rPr>
          <w:sz w:val="25"/>
        </w:rPr>
        <w:t>out</w:t>
      </w:r>
      <w:r>
        <w:rPr>
          <w:spacing w:val="12"/>
          <w:sz w:val="25"/>
        </w:rPr>
        <w:t xml:space="preserve"> </w:t>
      </w:r>
      <w:r>
        <w:rPr>
          <w:sz w:val="25"/>
        </w:rPr>
        <w:t>in</w:t>
      </w:r>
      <w:r>
        <w:rPr>
          <w:spacing w:val="14"/>
          <w:sz w:val="25"/>
        </w:rPr>
        <w:t xml:space="preserve"> </w:t>
      </w:r>
      <w:r>
        <w:rPr>
          <w:sz w:val="25"/>
        </w:rPr>
        <w:t>Annexure-1,</w:t>
      </w:r>
      <w:r>
        <w:rPr>
          <w:spacing w:val="12"/>
          <w:sz w:val="25"/>
        </w:rPr>
        <w:t xml:space="preserve"> </w:t>
      </w:r>
      <w:r>
        <w:rPr>
          <w:sz w:val="25"/>
        </w:rPr>
        <w:t>for</w:t>
      </w:r>
      <w:r>
        <w:rPr>
          <w:spacing w:val="15"/>
          <w:sz w:val="25"/>
        </w:rPr>
        <w:t xml:space="preserve"> </w:t>
      </w:r>
      <w:r>
        <w:rPr>
          <w:sz w:val="25"/>
        </w:rPr>
        <w:t>which</w:t>
      </w:r>
      <w:r>
        <w:rPr>
          <w:spacing w:val="13"/>
          <w:sz w:val="25"/>
        </w:rPr>
        <w:t xml:space="preserve"> </w:t>
      </w:r>
      <w:r>
        <w:rPr>
          <w:sz w:val="25"/>
        </w:rPr>
        <w:t>the</w:t>
      </w:r>
      <w:r>
        <w:rPr>
          <w:spacing w:val="13"/>
          <w:sz w:val="25"/>
        </w:rPr>
        <w:t xml:space="preserve"> </w:t>
      </w:r>
      <w:r>
        <w:rPr>
          <w:sz w:val="25"/>
        </w:rPr>
        <w:t>Board</w:t>
      </w:r>
      <w:r>
        <w:rPr>
          <w:spacing w:val="13"/>
          <w:sz w:val="25"/>
        </w:rPr>
        <w:t xml:space="preserve"> </w:t>
      </w:r>
      <w:r>
        <w:rPr>
          <w:sz w:val="25"/>
        </w:rPr>
        <w:t>was</w:t>
      </w:r>
      <w:r>
        <w:rPr>
          <w:spacing w:val="12"/>
          <w:sz w:val="25"/>
        </w:rPr>
        <w:t xml:space="preserve"> </w:t>
      </w:r>
      <w:r>
        <w:rPr>
          <w:sz w:val="25"/>
        </w:rPr>
        <w:t>inviting</w:t>
      </w:r>
      <w:r>
        <w:rPr>
          <w:spacing w:val="13"/>
          <w:sz w:val="25"/>
        </w:rPr>
        <w:t xml:space="preserve"> </w:t>
      </w:r>
      <w:r>
        <w:rPr>
          <w:sz w:val="25"/>
        </w:rPr>
        <w:t>bids</w:t>
      </w:r>
      <w:r>
        <w:rPr>
          <w:spacing w:val="16"/>
          <w:sz w:val="25"/>
        </w:rPr>
        <w:t xml:space="preserve"> </w:t>
      </w:r>
      <w:r>
        <w:rPr>
          <w:sz w:val="25"/>
        </w:rPr>
        <w:t>for</w:t>
      </w:r>
      <w:r>
        <w:rPr>
          <w:spacing w:val="13"/>
          <w:sz w:val="25"/>
        </w:rPr>
        <w:t xml:space="preserve"> </w:t>
      </w:r>
      <w:r>
        <w:rPr>
          <w:sz w:val="25"/>
        </w:rPr>
        <w:t>the</w:t>
      </w:r>
      <w:r>
        <w:rPr>
          <w:spacing w:val="14"/>
          <w:sz w:val="25"/>
        </w:rPr>
        <w:t xml:space="preserve"> </w:t>
      </w:r>
      <w:r>
        <w:rPr>
          <w:sz w:val="25"/>
        </w:rPr>
        <w:t>grant</w:t>
      </w:r>
      <w:r>
        <w:rPr>
          <w:spacing w:val="12"/>
          <w:sz w:val="25"/>
        </w:rPr>
        <w:t xml:space="preserve"> </w:t>
      </w:r>
      <w:r>
        <w:rPr>
          <w:sz w:val="25"/>
        </w:rPr>
        <w:t>of</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4"/>
        <w:jc w:val="both"/>
      </w:pPr>
      <w:r>
        <w:t>an authorisation to develop a CGD network. The main plank of the submissions of the appellants is that the map contained a reference to population and household figures on the basis of the 2011 Census. Clause 1.1.3 places the responsibility on the bidder t</w:t>
      </w:r>
      <w:r>
        <w:t xml:space="preserve">o obtain information about the present gas supply availability, the pipeline connectivity and the existing customers in the GA. </w:t>
      </w:r>
      <w:r>
        <w:rPr>
          <w:spacing w:val="-1"/>
          <w:w w:val="99"/>
        </w:rPr>
        <w:t>S</w:t>
      </w:r>
      <w:r>
        <w:rPr>
          <w:w w:val="99"/>
        </w:rPr>
        <w:t>ignificant</w:t>
      </w:r>
      <w:r>
        <w:rPr>
          <w:spacing w:val="2"/>
          <w:w w:val="99"/>
        </w:rPr>
        <w:t>l</w:t>
      </w:r>
      <w:r>
        <w:rPr>
          <w:spacing w:val="-3"/>
          <w:w w:val="99"/>
        </w:rPr>
        <w:t>y</w:t>
      </w:r>
      <w:r>
        <w:rPr>
          <w:w w:val="99"/>
        </w:rPr>
        <w:t>,</w:t>
      </w:r>
      <w:r>
        <w:t xml:space="preserve"> </w:t>
      </w:r>
      <w:r>
        <w:rPr>
          <w:spacing w:val="-27"/>
        </w:rPr>
        <w:t xml:space="preserve"> </w:t>
      </w:r>
      <w:r>
        <w:rPr>
          <w:w w:val="99"/>
        </w:rPr>
        <w:t>the</w:t>
      </w:r>
      <w:r>
        <w:t xml:space="preserve"> </w:t>
      </w:r>
      <w:r>
        <w:rPr>
          <w:spacing w:val="-26"/>
        </w:rPr>
        <w:t xml:space="preserve"> </w:t>
      </w:r>
      <w:r>
        <w:rPr>
          <w:w w:val="99"/>
        </w:rPr>
        <w:t>sc</w:t>
      </w:r>
      <w:r>
        <w:rPr>
          <w:spacing w:val="2"/>
          <w:w w:val="99"/>
        </w:rPr>
        <w:t>o</w:t>
      </w:r>
      <w:r>
        <w:rPr>
          <w:w w:val="99"/>
        </w:rPr>
        <w:t>pe</w:t>
      </w:r>
      <w:r>
        <w:t xml:space="preserve"> </w:t>
      </w:r>
      <w:r>
        <w:rPr>
          <w:spacing w:val="-26"/>
        </w:rPr>
        <w:t xml:space="preserve"> </w:t>
      </w:r>
      <w:r>
        <w:rPr>
          <w:w w:val="99"/>
        </w:rPr>
        <w:t>of</w:t>
      </w:r>
      <w:r>
        <w:t xml:space="preserve"> </w:t>
      </w:r>
      <w:r>
        <w:rPr>
          <w:spacing w:val="-23"/>
        </w:rPr>
        <w:t xml:space="preserve"> </w:t>
      </w:r>
      <w:r>
        <w:rPr>
          <w:w w:val="99"/>
        </w:rPr>
        <w:t>work</w:t>
      </w:r>
      <w:r>
        <w:t xml:space="preserve"> </w:t>
      </w:r>
      <w:r>
        <w:rPr>
          <w:spacing w:val="-26"/>
        </w:rPr>
        <w:t xml:space="preserve"> </w:t>
      </w:r>
      <w:r>
        <w:rPr>
          <w:w w:val="99"/>
        </w:rPr>
        <w:t>in</w:t>
      </w:r>
      <w:r>
        <w:t xml:space="preserve"> </w:t>
      </w:r>
      <w:r>
        <w:rPr>
          <w:spacing w:val="-26"/>
        </w:rPr>
        <w:t xml:space="preserve"> </w:t>
      </w:r>
      <w:r>
        <w:rPr>
          <w:spacing w:val="-1"/>
          <w:w w:val="99"/>
        </w:rPr>
        <w:t>Claus</w:t>
      </w:r>
      <w:r>
        <w:rPr>
          <w:w w:val="99"/>
        </w:rPr>
        <w:t>e</w:t>
      </w:r>
      <w:r>
        <w:t xml:space="preserve"> </w:t>
      </w:r>
      <w:r>
        <w:rPr>
          <w:spacing w:val="-26"/>
        </w:rPr>
        <w:t xml:space="preserve"> </w:t>
      </w:r>
      <w:r>
        <w:rPr>
          <w:spacing w:val="-1"/>
          <w:w w:val="99"/>
        </w:rPr>
        <w:t>1.</w:t>
      </w:r>
      <w:r>
        <w:rPr>
          <w:w w:val="99"/>
        </w:rPr>
        <w:t>2</w:t>
      </w:r>
      <w:r>
        <w:t xml:space="preserve"> </w:t>
      </w:r>
      <w:r>
        <w:rPr>
          <w:spacing w:val="-26"/>
        </w:rPr>
        <w:t xml:space="preserve"> </w:t>
      </w:r>
      <w:r>
        <w:rPr>
          <w:w w:val="99"/>
        </w:rPr>
        <w:t>r</w:t>
      </w:r>
      <w:r>
        <w:rPr>
          <w:spacing w:val="-1"/>
          <w:w w:val="99"/>
        </w:rPr>
        <w:t>e</w:t>
      </w:r>
      <w:r>
        <w:rPr>
          <w:w w:val="99"/>
        </w:rPr>
        <w:t>q</w:t>
      </w:r>
      <w:r>
        <w:rPr>
          <w:spacing w:val="-1"/>
          <w:w w:val="99"/>
        </w:rPr>
        <w:t>ui</w:t>
      </w:r>
      <w:r>
        <w:rPr>
          <w:w w:val="99"/>
        </w:rPr>
        <w:t>r</w:t>
      </w:r>
      <w:r>
        <w:rPr>
          <w:spacing w:val="-1"/>
          <w:w w:val="99"/>
        </w:rPr>
        <w:t>e</w:t>
      </w:r>
      <w:r>
        <w:rPr>
          <w:w w:val="99"/>
        </w:rPr>
        <w:t>d</w:t>
      </w:r>
      <w:r>
        <w:t xml:space="preserve"> </w:t>
      </w:r>
      <w:r>
        <w:rPr>
          <w:spacing w:val="-26"/>
        </w:rPr>
        <w:t xml:space="preserve"> </w:t>
      </w:r>
      <w:r>
        <w:rPr>
          <w:spacing w:val="-1"/>
          <w:w w:val="99"/>
        </w:rPr>
        <w:t>bid</w:t>
      </w:r>
      <w:r>
        <w:rPr>
          <w:w w:val="99"/>
        </w:rPr>
        <w:t>d</w:t>
      </w:r>
      <w:r>
        <w:rPr>
          <w:spacing w:val="-1"/>
          <w:w w:val="99"/>
        </w:rPr>
        <w:t>in</w:t>
      </w:r>
      <w:r>
        <w:rPr>
          <w:w w:val="99"/>
        </w:rPr>
        <w:t>g</w:t>
      </w:r>
      <w:r>
        <w:t xml:space="preserve"> </w:t>
      </w:r>
      <w:r>
        <w:rPr>
          <w:spacing w:val="-29"/>
        </w:rPr>
        <w:t xml:space="preserve"> </w:t>
      </w:r>
      <w:r>
        <w:rPr>
          <w:spacing w:val="-1"/>
          <w:w w:val="99"/>
        </w:rPr>
        <w:t>e</w:t>
      </w:r>
      <w:r>
        <w:rPr>
          <w:w w:val="99"/>
        </w:rPr>
        <w:t>ntities</w:t>
      </w:r>
      <w:r>
        <w:t xml:space="preserve"> </w:t>
      </w:r>
      <w:r>
        <w:rPr>
          <w:spacing w:val="-26"/>
        </w:rPr>
        <w:t xml:space="preserve"> </w:t>
      </w:r>
      <w:r>
        <w:rPr>
          <w:w w:val="33"/>
        </w:rPr>
        <w:t>―</w:t>
      </w:r>
      <w:r>
        <w:rPr>
          <w:w w:val="99"/>
        </w:rPr>
        <w:t>to</w:t>
      </w:r>
      <w:r>
        <w:t xml:space="preserve"> </w:t>
      </w:r>
      <w:r>
        <w:rPr>
          <w:spacing w:val="-26"/>
        </w:rPr>
        <w:t xml:space="preserve"> </w:t>
      </w:r>
      <w:r>
        <w:rPr>
          <w:spacing w:val="-1"/>
          <w:w w:val="99"/>
        </w:rPr>
        <w:t>la</w:t>
      </w:r>
      <w:r>
        <w:rPr>
          <w:spacing w:val="-3"/>
          <w:w w:val="99"/>
        </w:rPr>
        <w:t>y</w:t>
      </w:r>
      <w:r>
        <w:rPr>
          <w:w w:val="99"/>
        </w:rPr>
        <w:t xml:space="preserve">, </w:t>
      </w:r>
      <w:r>
        <w:t>build, operate or expand the CDG n</w:t>
      </w:r>
      <w:r>
        <w:t xml:space="preserve">etworks‖ to meet the requirement of natural </w:t>
      </w:r>
      <w:r>
        <w:rPr>
          <w:spacing w:val="-1"/>
          <w:w w:val="99"/>
        </w:rPr>
        <w:t>g</w:t>
      </w:r>
      <w:r>
        <w:rPr>
          <w:w w:val="99"/>
        </w:rPr>
        <w:t>as</w:t>
      </w:r>
      <w:r>
        <w:rPr>
          <w:spacing w:val="2"/>
        </w:rPr>
        <w:t xml:space="preserve"> </w:t>
      </w:r>
      <w:r>
        <w:rPr>
          <w:w w:val="33"/>
        </w:rPr>
        <w:t>―</w:t>
      </w:r>
      <w:r>
        <w:rPr>
          <w:spacing w:val="-1"/>
          <w:w w:val="99"/>
        </w:rPr>
        <w:t>i</w:t>
      </w:r>
      <w:r>
        <w:rPr>
          <w:w w:val="99"/>
        </w:rPr>
        <w:t>n</w:t>
      </w:r>
      <w:r>
        <w:rPr>
          <w:spacing w:val="2"/>
        </w:rPr>
        <w:t xml:space="preserve"> </w:t>
      </w:r>
      <w:r>
        <w:rPr>
          <w:spacing w:val="-1"/>
          <w:w w:val="99"/>
        </w:rPr>
        <w:t>d</w:t>
      </w:r>
      <w:r>
        <w:rPr>
          <w:w w:val="99"/>
        </w:rPr>
        <w:t>om</w:t>
      </w:r>
      <w:r>
        <w:rPr>
          <w:spacing w:val="-1"/>
          <w:w w:val="99"/>
        </w:rPr>
        <w:t>estic</w:t>
      </w:r>
      <w:r>
        <w:rPr>
          <w:w w:val="99"/>
        </w:rPr>
        <w:t>,</w:t>
      </w:r>
      <w:r>
        <w:rPr>
          <w:spacing w:val="2"/>
        </w:rPr>
        <w:t xml:space="preserve"> </w:t>
      </w:r>
      <w:r>
        <w:rPr>
          <w:w w:val="99"/>
        </w:rPr>
        <w:t>co</w:t>
      </w:r>
      <w:r>
        <w:rPr>
          <w:spacing w:val="1"/>
          <w:w w:val="99"/>
        </w:rPr>
        <w:t>m</w:t>
      </w:r>
      <w:r>
        <w:rPr>
          <w:w w:val="99"/>
        </w:rPr>
        <w:t>m</w:t>
      </w:r>
      <w:r>
        <w:rPr>
          <w:spacing w:val="-1"/>
          <w:w w:val="99"/>
        </w:rPr>
        <w:t>e</w:t>
      </w:r>
      <w:r>
        <w:rPr>
          <w:w w:val="99"/>
        </w:rPr>
        <w:t>r</w:t>
      </w:r>
      <w:r>
        <w:rPr>
          <w:spacing w:val="3"/>
          <w:w w:val="99"/>
        </w:rPr>
        <w:t>c</w:t>
      </w:r>
      <w:r>
        <w:rPr>
          <w:w w:val="99"/>
        </w:rPr>
        <w:t>ial</w:t>
      </w:r>
      <w:r>
        <w:rPr>
          <w:spacing w:val="2"/>
        </w:rPr>
        <w:t xml:space="preserve"> </w:t>
      </w:r>
      <w:r>
        <w:rPr>
          <w:w w:val="99"/>
        </w:rPr>
        <w:t>and</w:t>
      </w:r>
      <w:r>
        <w:rPr>
          <w:spacing w:val="2"/>
        </w:rPr>
        <w:t xml:space="preserve"> </w:t>
      </w:r>
      <w:r>
        <w:rPr>
          <w:w w:val="99"/>
        </w:rPr>
        <w:t>industrial</w:t>
      </w:r>
      <w:r>
        <w:rPr>
          <w:spacing w:val="2"/>
        </w:rPr>
        <w:t xml:space="preserve"> </w:t>
      </w:r>
      <w:r>
        <w:rPr>
          <w:w w:val="99"/>
        </w:rPr>
        <w:t>segments</w:t>
      </w:r>
      <w:r>
        <w:rPr>
          <w:spacing w:val="2"/>
        </w:rPr>
        <w:t xml:space="preserve"> </w:t>
      </w:r>
      <w:r>
        <w:rPr>
          <w:w w:val="99"/>
        </w:rPr>
        <w:t>including</w:t>
      </w:r>
      <w:r>
        <w:rPr>
          <w:spacing w:val="2"/>
        </w:rPr>
        <w:t xml:space="preserve"> </w:t>
      </w:r>
      <w:r>
        <w:rPr>
          <w:w w:val="99"/>
        </w:rPr>
        <w:t>natu</w:t>
      </w:r>
      <w:r>
        <w:rPr>
          <w:spacing w:val="1"/>
          <w:w w:val="99"/>
        </w:rPr>
        <w:t>r</w:t>
      </w:r>
      <w:r>
        <w:rPr>
          <w:w w:val="99"/>
        </w:rPr>
        <w:t>al</w:t>
      </w:r>
      <w:r>
        <w:rPr>
          <w:spacing w:val="2"/>
        </w:rPr>
        <w:t xml:space="preserve"> </w:t>
      </w:r>
      <w:r>
        <w:rPr>
          <w:w w:val="99"/>
        </w:rPr>
        <w:t>gas</w:t>
      </w:r>
      <w:r>
        <w:rPr>
          <w:spacing w:val="2"/>
        </w:rPr>
        <w:t xml:space="preserve"> </w:t>
      </w:r>
      <w:r>
        <w:rPr>
          <w:w w:val="99"/>
        </w:rPr>
        <w:t>in</w:t>
      </w:r>
      <w:r>
        <w:rPr>
          <w:spacing w:val="2"/>
        </w:rPr>
        <w:t xml:space="preserve"> </w:t>
      </w:r>
      <w:r>
        <w:rPr>
          <w:w w:val="99"/>
        </w:rPr>
        <w:t xml:space="preserve">the </w:t>
      </w:r>
      <w:r>
        <w:t>vehicular segment in the said Geographical Area to be authorised.‖ Bidders are required under Clause 2.1.1 to examine the contents of the Bid Document including instructions, terms and conditions and regulations of the Board. The bidder was required to car</w:t>
      </w:r>
      <w:r>
        <w:t>efully study the GA and the charge area before submitting the bid. In other words, bidders were on notice of the actions required to be taken to implement the Regulations. The Bid Document necessarily had to be in conformity with the CGD Authorisation Regu</w:t>
      </w:r>
      <w:r>
        <w:t xml:space="preserve">lations. The map, at best was a compendium of the latest official record of the GA. The map did not dictate how the number of domestic PNG connections was to be calculated. There is no such indication particularly in Clause 1 of the Bid Document where the </w:t>
      </w:r>
      <w:r>
        <w:t xml:space="preserve">map is referenced. The mere attachment of a map to the Bid Document would not result in the imposition of conditions of eligibility or qualification. These have been provided in the Regulations which have a statutory character. The depiction of  the GA in </w:t>
      </w:r>
      <w:r>
        <w:t>a map attached to the bid document does not over-ride the specific requirements of the bidding criteria as defined in Regulation</w:t>
      </w:r>
      <w:r>
        <w:rPr>
          <w:spacing w:val="-11"/>
        </w:rPr>
        <w:t xml:space="preserve"> </w:t>
      </w:r>
      <w:r>
        <w:t>7.</w:t>
      </w:r>
    </w:p>
    <w:p w:rsidR="008215AB" w:rsidRDefault="008215AB">
      <w:pPr>
        <w:spacing w:line="480" w:lineRule="auto"/>
        <w:jc w:val="both"/>
        <w:sectPr w:rsidR="008215AB">
          <w:pgSz w:w="11910" w:h="16840"/>
          <w:pgMar w:top="1340" w:right="1100" w:bottom="1220" w:left="1220" w:header="0" w:footer="1034" w:gutter="0"/>
          <w:cols w:space="720"/>
        </w:sectPr>
      </w:pPr>
    </w:p>
    <w:p w:rsidR="008215AB" w:rsidRDefault="006513FA">
      <w:pPr>
        <w:pStyle w:val="ListParagraph"/>
        <w:numPr>
          <w:ilvl w:val="0"/>
          <w:numId w:val="4"/>
        </w:numPr>
        <w:tabs>
          <w:tab w:val="left" w:pos="941"/>
        </w:tabs>
        <w:spacing w:before="78" w:line="480" w:lineRule="auto"/>
        <w:ind w:right="335" w:firstLine="0"/>
        <w:jc w:val="both"/>
        <w:rPr>
          <w:sz w:val="25"/>
        </w:rPr>
      </w:pPr>
      <w:r>
        <w:rPr>
          <w:sz w:val="25"/>
        </w:rPr>
        <w:t xml:space="preserve">The next basis of the challenge by the appellants is that the decision which was taken in the form of the </w:t>
      </w:r>
      <w:r>
        <w:rPr>
          <w:sz w:val="25"/>
        </w:rPr>
        <w:t>Board Note dated 23 July 2018 had categorically stipulated a range of 2 per cent to 100 per cent of the number of households as per the 2011 Census as the minimum/maximum thresholds to judge the reasonableness of the bids. It has been urged that despite th</w:t>
      </w:r>
      <w:r>
        <w:rPr>
          <w:sz w:val="25"/>
        </w:rPr>
        <w:t>is, the decision of the Board dated 10 August 2018 virtually reversed the earlier decision recorded in the Board Note of 23 July 2018, thereby tainting the decision-making process with arbitrariness. The nuances to this challenge have been brought out in t</w:t>
      </w:r>
      <w:r>
        <w:rPr>
          <w:sz w:val="25"/>
        </w:rPr>
        <w:t>he submissions of Dr AM Singhvi, Mr Vikas Singh, learned Senior Counsel on behalf of Adani Gas Limited and Mr KV Vishwanathan and Mr Buddy Ranganathan, learned Senior Counsel on behalf of IMC Limited and can broadly be catalogued in the form of the followi</w:t>
      </w:r>
      <w:r>
        <w:rPr>
          <w:sz w:val="25"/>
        </w:rPr>
        <w:t>ng</w:t>
      </w:r>
      <w:r>
        <w:rPr>
          <w:spacing w:val="-5"/>
          <w:sz w:val="25"/>
        </w:rPr>
        <w:t xml:space="preserve"> </w:t>
      </w:r>
      <w:r>
        <w:rPr>
          <w:sz w:val="25"/>
        </w:rPr>
        <w:t>points:</w:t>
      </w:r>
    </w:p>
    <w:p w:rsidR="008215AB" w:rsidRDefault="008215AB">
      <w:pPr>
        <w:pStyle w:val="BodyText"/>
        <w:spacing w:before="2"/>
      </w:pPr>
    </w:p>
    <w:p w:rsidR="008215AB" w:rsidRDefault="006513FA">
      <w:pPr>
        <w:pStyle w:val="ListParagraph"/>
        <w:numPr>
          <w:ilvl w:val="1"/>
          <w:numId w:val="4"/>
        </w:numPr>
        <w:tabs>
          <w:tab w:val="left" w:pos="1661"/>
        </w:tabs>
        <w:spacing w:line="480" w:lineRule="auto"/>
        <w:ind w:right="337"/>
        <w:jc w:val="both"/>
        <w:rPr>
          <w:sz w:val="25"/>
        </w:rPr>
      </w:pPr>
      <w:r>
        <w:rPr>
          <w:sz w:val="25"/>
        </w:rPr>
        <w:t>The 2 - 100 per cent criterion based on the 2011 Census data is the basis on which the bids for 79 out of 86 GAs were</w:t>
      </w:r>
      <w:r>
        <w:rPr>
          <w:spacing w:val="-15"/>
          <w:sz w:val="25"/>
        </w:rPr>
        <w:t xml:space="preserve"> </w:t>
      </w:r>
      <w:r>
        <w:rPr>
          <w:sz w:val="25"/>
        </w:rPr>
        <w:t>evaluated;</w:t>
      </w:r>
    </w:p>
    <w:p w:rsidR="008215AB" w:rsidRDefault="006513FA">
      <w:pPr>
        <w:pStyle w:val="ListParagraph"/>
        <w:numPr>
          <w:ilvl w:val="1"/>
          <w:numId w:val="4"/>
        </w:numPr>
        <w:tabs>
          <w:tab w:val="left" w:pos="1661"/>
        </w:tabs>
        <w:spacing w:line="480" w:lineRule="auto"/>
        <w:ind w:right="335"/>
        <w:jc w:val="both"/>
        <w:rPr>
          <w:sz w:val="25"/>
        </w:rPr>
      </w:pPr>
      <w:r>
        <w:rPr>
          <w:sz w:val="25"/>
        </w:rPr>
        <w:t>In respect of the bids for four GAs (out of the remaining seven GAs) where the highest bidder had bid a number of P</w:t>
      </w:r>
      <w:r>
        <w:rPr>
          <w:sz w:val="25"/>
        </w:rPr>
        <w:t>NG connections below 2 per cent of the number provided by the 2011 Census, those four bidders were furnished with an opportunity to improve their bids and match the 2 per cent threshold;</w:t>
      </w:r>
    </w:p>
    <w:p w:rsidR="008215AB" w:rsidRDefault="006513FA">
      <w:pPr>
        <w:pStyle w:val="ListParagraph"/>
        <w:numPr>
          <w:ilvl w:val="1"/>
          <w:numId w:val="4"/>
        </w:numPr>
        <w:tabs>
          <w:tab w:val="left" w:pos="1661"/>
        </w:tabs>
        <w:spacing w:line="480" w:lineRule="auto"/>
        <w:ind w:right="340"/>
        <w:jc w:val="both"/>
        <w:rPr>
          <w:sz w:val="25"/>
        </w:rPr>
      </w:pPr>
      <w:r>
        <w:rPr>
          <w:sz w:val="25"/>
        </w:rPr>
        <w:t>It is only for the three bidders with the highest composite scores in</w:t>
      </w:r>
      <w:r>
        <w:rPr>
          <w:sz w:val="25"/>
        </w:rPr>
        <w:t xml:space="preserve"> GAs 51, 61 and 62 that the bids were evaluated with reference to the projected number of households in 2026;</w:t>
      </w:r>
    </w:p>
    <w:p w:rsidR="008215AB" w:rsidRDefault="006513FA">
      <w:pPr>
        <w:pStyle w:val="ListParagraph"/>
        <w:numPr>
          <w:ilvl w:val="1"/>
          <w:numId w:val="4"/>
        </w:numPr>
        <w:tabs>
          <w:tab w:val="left" w:pos="1661"/>
        </w:tabs>
        <w:spacing w:line="482" w:lineRule="auto"/>
        <w:ind w:right="339"/>
        <w:jc w:val="both"/>
        <w:rPr>
          <w:sz w:val="25"/>
        </w:rPr>
      </w:pPr>
      <w:r>
        <w:rPr>
          <w:sz w:val="25"/>
        </w:rPr>
        <w:t>For example, in GA-62 (Chennai-Tiruvallur), there were ten bidders of</w:t>
      </w:r>
      <w:r>
        <w:rPr>
          <w:spacing w:val="11"/>
          <w:sz w:val="25"/>
        </w:rPr>
        <w:t xml:space="preserve"> </w:t>
      </w:r>
      <w:r>
        <w:rPr>
          <w:sz w:val="25"/>
        </w:rPr>
        <w:t>whom</w:t>
      </w:r>
      <w:r>
        <w:rPr>
          <w:spacing w:val="12"/>
          <w:sz w:val="25"/>
        </w:rPr>
        <w:t xml:space="preserve"> </w:t>
      </w:r>
      <w:r>
        <w:rPr>
          <w:sz w:val="25"/>
        </w:rPr>
        <w:t>the</w:t>
      </w:r>
      <w:r>
        <w:rPr>
          <w:spacing w:val="13"/>
          <w:sz w:val="25"/>
        </w:rPr>
        <w:t xml:space="preserve"> </w:t>
      </w:r>
      <w:r>
        <w:rPr>
          <w:sz w:val="25"/>
        </w:rPr>
        <w:t>bids</w:t>
      </w:r>
      <w:r>
        <w:rPr>
          <w:spacing w:val="11"/>
          <w:sz w:val="25"/>
        </w:rPr>
        <w:t xml:space="preserve"> </w:t>
      </w:r>
      <w:r>
        <w:rPr>
          <w:sz w:val="25"/>
        </w:rPr>
        <w:t>of</w:t>
      </w:r>
      <w:r>
        <w:rPr>
          <w:spacing w:val="11"/>
          <w:sz w:val="25"/>
        </w:rPr>
        <w:t xml:space="preserve"> </w:t>
      </w:r>
      <w:r>
        <w:rPr>
          <w:sz w:val="25"/>
        </w:rPr>
        <w:t>nine</w:t>
      </w:r>
      <w:r>
        <w:rPr>
          <w:spacing w:val="11"/>
          <w:sz w:val="25"/>
        </w:rPr>
        <w:t xml:space="preserve"> </w:t>
      </w:r>
      <w:r>
        <w:rPr>
          <w:sz w:val="25"/>
        </w:rPr>
        <w:t>were</w:t>
      </w:r>
      <w:r>
        <w:rPr>
          <w:spacing w:val="11"/>
          <w:sz w:val="25"/>
        </w:rPr>
        <w:t xml:space="preserve"> </w:t>
      </w:r>
      <w:r>
        <w:rPr>
          <w:sz w:val="25"/>
        </w:rPr>
        <w:t>evaluated</w:t>
      </w:r>
      <w:r>
        <w:rPr>
          <w:spacing w:val="11"/>
          <w:sz w:val="25"/>
        </w:rPr>
        <w:t xml:space="preserve"> </w:t>
      </w:r>
      <w:r>
        <w:rPr>
          <w:sz w:val="25"/>
        </w:rPr>
        <w:t>with</w:t>
      </w:r>
      <w:r>
        <w:rPr>
          <w:spacing w:val="11"/>
          <w:sz w:val="25"/>
        </w:rPr>
        <w:t xml:space="preserve"> </w:t>
      </w:r>
      <w:r>
        <w:rPr>
          <w:sz w:val="25"/>
        </w:rPr>
        <w:t>reference</w:t>
      </w:r>
      <w:r>
        <w:rPr>
          <w:spacing w:val="11"/>
          <w:sz w:val="25"/>
        </w:rPr>
        <w:t xml:space="preserve"> </w:t>
      </w:r>
      <w:r>
        <w:rPr>
          <w:sz w:val="25"/>
        </w:rPr>
        <w:t>to</w:t>
      </w:r>
      <w:r>
        <w:rPr>
          <w:spacing w:val="11"/>
          <w:sz w:val="25"/>
        </w:rPr>
        <w:t xml:space="preserve"> </w:t>
      </w:r>
      <w:r>
        <w:rPr>
          <w:sz w:val="25"/>
        </w:rPr>
        <w:t>the</w:t>
      </w:r>
      <w:r>
        <w:rPr>
          <w:spacing w:val="11"/>
          <w:sz w:val="25"/>
        </w:rPr>
        <w:t xml:space="preserve"> </w:t>
      </w:r>
      <w:r>
        <w:rPr>
          <w:sz w:val="25"/>
        </w:rPr>
        <w:t>2011</w:t>
      </w:r>
    </w:p>
    <w:p w:rsidR="008215AB" w:rsidRDefault="008215AB">
      <w:pPr>
        <w:spacing w:line="482"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1660" w:right="340"/>
        <w:jc w:val="both"/>
      </w:pPr>
      <w:r>
        <w:t>Census data on the number of households, whereas the bid of one bidder (Torrent Gas Private Limited) has been evaluated with reference to the number of projected households in 2026;</w:t>
      </w:r>
    </w:p>
    <w:p w:rsidR="008215AB" w:rsidRDefault="006513FA">
      <w:pPr>
        <w:pStyle w:val="ListParagraph"/>
        <w:numPr>
          <w:ilvl w:val="1"/>
          <w:numId w:val="4"/>
        </w:numPr>
        <w:tabs>
          <w:tab w:val="left" w:pos="1661"/>
        </w:tabs>
        <w:spacing w:line="480" w:lineRule="auto"/>
        <w:ind w:right="334"/>
        <w:jc w:val="both"/>
        <w:rPr>
          <w:sz w:val="25"/>
        </w:rPr>
      </w:pPr>
      <w:r>
        <w:rPr>
          <w:sz w:val="25"/>
        </w:rPr>
        <w:t>The agenda note dated 9 August 2018 which was approved by three out of the four Board members recommended that Torrent Gas Private Limited was not qualified and Adani Gas Limited be declared as the successful bidder. Yet on 10 August 2018, the four Board m</w:t>
      </w:r>
      <w:r>
        <w:rPr>
          <w:sz w:val="25"/>
        </w:rPr>
        <w:t xml:space="preserve">embers including the three who had approved the Board Note concluded that, though the lower and upper thresholds were </w:t>
      </w:r>
      <w:r>
        <w:rPr>
          <w:spacing w:val="-1"/>
          <w:w w:val="99"/>
          <w:sz w:val="25"/>
        </w:rPr>
        <w:t>d</w:t>
      </w:r>
      <w:r>
        <w:rPr>
          <w:w w:val="99"/>
          <w:sz w:val="25"/>
        </w:rPr>
        <w:t>ecided</w:t>
      </w:r>
      <w:r>
        <w:rPr>
          <w:sz w:val="25"/>
        </w:rPr>
        <w:t xml:space="preserve"> </w:t>
      </w:r>
      <w:r>
        <w:rPr>
          <w:w w:val="33"/>
          <w:sz w:val="25"/>
        </w:rPr>
        <w:t>―</w:t>
      </w:r>
      <w:r>
        <w:rPr>
          <w:w w:val="99"/>
          <w:sz w:val="25"/>
        </w:rPr>
        <w:t>the</w:t>
      </w:r>
      <w:r>
        <w:rPr>
          <w:sz w:val="25"/>
        </w:rPr>
        <w:t xml:space="preserve"> </w:t>
      </w:r>
      <w:r>
        <w:rPr>
          <w:w w:val="99"/>
          <w:sz w:val="25"/>
        </w:rPr>
        <w:t>sa</w:t>
      </w:r>
      <w:r>
        <w:rPr>
          <w:spacing w:val="1"/>
          <w:w w:val="99"/>
          <w:sz w:val="25"/>
        </w:rPr>
        <w:t>m</w:t>
      </w:r>
      <w:r>
        <w:rPr>
          <w:w w:val="99"/>
          <w:sz w:val="25"/>
        </w:rPr>
        <w:t>e</w:t>
      </w:r>
      <w:r>
        <w:rPr>
          <w:spacing w:val="-1"/>
          <w:sz w:val="25"/>
        </w:rPr>
        <w:t xml:space="preserve"> </w:t>
      </w:r>
      <w:r>
        <w:rPr>
          <w:w w:val="99"/>
          <w:sz w:val="25"/>
        </w:rPr>
        <w:t>n</w:t>
      </w:r>
      <w:r>
        <w:rPr>
          <w:spacing w:val="-3"/>
          <w:w w:val="99"/>
          <w:sz w:val="25"/>
        </w:rPr>
        <w:t>e</w:t>
      </w:r>
      <w:r>
        <w:rPr>
          <w:spacing w:val="-1"/>
          <w:w w:val="99"/>
          <w:sz w:val="25"/>
        </w:rPr>
        <w:t>e</w:t>
      </w:r>
      <w:r>
        <w:rPr>
          <w:w w:val="99"/>
          <w:sz w:val="25"/>
        </w:rPr>
        <w:t>d</w:t>
      </w:r>
      <w:r>
        <w:rPr>
          <w:sz w:val="25"/>
        </w:rPr>
        <w:t xml:space="preserve"> </w:t>
      </w:r>
      <w:r>
        <w:rPr>
          <w:spacing w:val="-1"/>
          <w:w w:val="99"/>
          <w:sz w:val="25"/>
        </w:rPr>
        <w:t>n</w:t>
      </w:r>
      <w:r>
        <w:rPr>
          <w:w w:val="99"/>
          <w:sz w:val="25"/>
        </w:rPr>
        <w:t>ot</w:t>
      </w:r>
      <w:r>
        <w:rPr>
          <w:sz w:val="25"/>
        </w:rPr>
        <w:t xml:space="preserve"> </w:t>
      </w:r>
      <w:r>
        <w:rPr>
          <w:w w:val="99"/>
          <w:sz w:val="25"/>
        </w:rPr>
        <w:t>be</w:t>
      </w:r>
      <w:r>
        <w:rPr>
          <w:spacing w:val="-1"/>
          <w:sz w:val="25"/>
        </w:rPr>
        <w:t xml:space="preserve"> </w:t>
      </w:r>
      <w:r>
        <w:rPr>
          <w:w w:val="99"/>
          <w:sz w:val="25"/>
        </w:rPr>
        <w:t>a</w:t>
      </w:r>
      <w:r>
        <w:rPr>
          <w:sz w:val="25"/>
        </w:rPr>
        <w:t xml:space="preserve"> </w:t>
      </w:r>
      <w:r>
        <w:rPr>
          <w:w w:val="99"/>
          <w:sz w:val="25"/>
        </w:rPr>
        <w:t>m</w:t>
      </w:r>
      <w:r>
        <w:rPr>
          <w:spacing w:val="-1"/>
          <w:w w:val="99"/>
          <w:sz w:val="25"/>
        </w:rPr>
        <w:t>ec</w:t>
      </w:r>
      <w:r>
        <w:rPr>
          <w:w w:val="99"/>
          <w:sz w:val="25"/>
        </w:rPr>
        <w:t>h</w:t>
      </w:r>
      <w:r>
        <w:rPr>
          <w:spacing w:val="-1"/>
          <w:w w:val="99"/>
          <w:sz w:val="25"/>
        </w:rPr>
        <w:t>a</w:t>
      </w:r>
      <w:r>
        <w:rPr>
          <w:w w:val="99"/>
          <w:sz w:val="25"/>
        </w:rPr>
        <w:t>n</w:t>
      </w:r>
      <w:r>
        <w:rPr>
          <w:spacing w:val="-1"/>
          <w:w w:val="99"/>
          <w:sz w:val="25"/>
        </w:rPr>
        <w:t>i</w:t>
      </w:r>
      <w:r>
        <w:rPr>
          <w:spacing w:val="-3"/>
          <w:w w:val="99"/>
          <w:sz w:val="25"/>
        </w:rPr>
        <w:t>c</w:t>
      </w:r>
      <w:r>
        <w:rPr>
          <w:spacing w:val="-1"/>
          <w:w w:val="99"/>
          <w:sz w:val="25"/>
        </w:rPr>
        <w:t>a</w:t>
      </w:r>
      <w:r>
        <w:rPr>
          <w:w w:val="99"/>
          <w:sz w:val="25"/>
        </w:rPr>
        <w:t>l</w:t>
      </w:r>
      <w:r>
        <w:rPr>
          <w:spacing w:val="-1"/>
          <w:sz w:val="25"/>
        </w:rPr>
        <w:t xml:space="preserve"> </w:t>
      </w:r>
      <w:r>
        <w:rPr>
          <w:w w:val="99"/>
          <w:sz w:val="25"/>
        </w:rPr>
        <w:t>e</w:t>
      </w:r>
      <w:r>
        <w:rPr>
          <w:spacing w:val="-3"/>
          <w:w w:val="99"/>
          <w:sz w:val="25"/>
        </w:rPr>
        <w:t>x</w:t>
      </w:r>
      <w:r>
        <w:rPr>
          <w:spacing w:val="-1"/>
          <w:w w:val="99"/>
          <w:sz w:val="25"/>
        </w:rPr>
        <w:t>e</w:t>
      </w:r>
      <w:r>
        <w:rPr>
          <w:w w:val="99"/>
          <w:sz w:val="25"/>
        </w:rPr>
        <w:t>r</w:t>
      </w:r>
      <w:r>
        <w:rPr>
          <w:w w:val="96"/>
          <w:sz w:val="25"/>
        </w:rPr>
        <w:t>cise‖</w:t>
      </w:r>
      <w:r>
        <w:rPr>
          <w:w w:val="99"/>
          <w:sz w:val="25"/>
        </w:rPr>
        <w:t>;</w:t>
      </w:r>
    </w:p>
    <w:p w:rsidR="008215AB" w:rsidRDefault="006513FA">
      <w:pPr>
        <w:pStyle w:val="ListParagraph"/>
        <w:numPr>
          <w:ilvl w:val="1"/>
          <w:numId w:val="4"/>
        </w:numPr>
        <w:tabs>
          <w:tab w:val="left" w:pos="1661"/>
        </w:tabs>
        <w:spacing w:before="1" w:line="480" w:lineRule="auto"/>
        <w:jc w:val="both"/>
        <w:rPr>
          <w:sz w:val="25"/>
        </w:rPr>
      </w:pPr>
      <w:r>
        <w:rPr>
          <w:sz w:val="25"/>
        </w:rPr>
        <w:t>Neither the Bid Document nor the CGD Authorisation Regulations contain any provision allowing the Board to call upon bidders to improve their</w:t>
      </w:r>
      <w:r>
        <w:rPr>
          <w:spacing w:val="1"/>
          <w:sz w:val="25"/>
        </w:rPr>
        <w:t xml:space="preserve"> </w:t>
      </w:r>
      <w:r>
        <w:rPr>
          <w:sz w:val="25"/>
        </w:rPr>
        <w:t>bids;</w:t>
      </w:r>
    </w:p>
    <w:p w:rsidR="008215AB" w:rsidRDefault="006513FA">
      <w:pPr>
        <w:pStyle w:val="ListParagraph"/>
        <w:numPr>
          <w:ilvl w:val="1"/>
          <w:numId w:val="4"/>
        </w:numPr>
        <w:tabs>
          <w:tab w:val="left" w:pos="1661"/>
        </w:tabs>
        <w:spacing w:line="480" w:lineRule="auto"/>
        <w:ind w:right="339"/>
        <w:jc w:val="both"/>
        <w:rPr>
          <w:sz w:val="25"/>
        </w:rPr>
      </w:pPr>
      <w:r>
        <w:rPr>
          <w:sz w:val="25"/>
        </w:rPr>
        <w:t>The Board Note dated 23 July 2018 which defined the minimum and maximum threshold (2-100 per cent of the num</w:t>
      </w:r>
      <w:r>
        <w:rPr>
          <w:sz w:val="25"/>
        </w:rPr>
        <w:t>ber of households as per the 2011 Census) without any caveat or provision for relaxation has been virtually reversed on 10 August 2018, thereby upsetting the level playing field between</w:t>
      </w:r>
      <w:r>
        <w:rPr>
          <w:spacing w:val="-1"/>
          <w:sz w:val="25"/>
        </w:rPr>
        <w:t xml:space="preserve"> </w:t>
      </w:r>
      <w:r>
        <w:rPr>
          <w:sz w:val="25"/>
        </w:rPr>
        <w:t>bidders;</w:t>
      </w:r>
    </w:p>
    <w:p w:rsidR="008215AB" w:rsidRDefault="006513FA">
      <w:pPr>
        <w:pStyle w:val="ListParagraph"/>
        <w:numPr>
          <w:ilvl w:val="1"/>
          <w:numId w:val="4"/>
        </w:numPr>
        <w:tabs>
          <w:tab w:val="left" w:pos="1661"/>
        </w:tabs>
        <w:spacing w:line="480" w:lineRule="auto"/>
        <w:ind w:right="339"/>
        <w:jc w:val="both"/>
        <w:rPr>
          <w:sz w:val="25"/>
        </w:rPr>
      </w:pPr>
      <w:r>
        <w:rPr>
          <w:sz w:val="25"/>
        </w:rPr>
        <w:t>The only reason for the reversal of the decision, which is th</w:t>
      </w:r>
      <w:r>
        <w:rPr>
          <w:sz w:val="25"/>
        </w:rPr>
        <w:t xml:space="preserve">at the criterion need not be a mechanical exercise is not supported by reasons and this </w:t>
      </w:r>
      <w:r>
        <w:rPr>
          <w:i/>
          <w:sz w:val="25"/>
        </w:rPr>
        <w:t xml:space="preserve">volte face </w:t>
      </w:r>
      <w:r>
        <w:rPr>
          <w:sz w:val="25"/>
        </w:rPr>
        <w:t>introduced un-canalized subjectivity in the process which was earlier considered to be objective and definite;</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ListParagraph"/>
        <w:numPr>
          <w:ilvl w:val="1"/>
          <w:numId w:val="4"/>
        </w:numPr>
        <w:tabs>
          <w:tab w:val="left" w:pos="1661"/>
        </w:tabs>
        <w:spacing w:before="78" w:line="480" w:lineRule="auto"/>
        <w:ind w:right="337"/>
        <w:jc w:val="both"/>
        <w:rPr>
          <w:sz w:val="25"/>
        </w:rPr>
      </w:pPr>
      <w:r>
        <w:rPr>
          <w:sz w:val="25"/>
        </w:rPr>
        <w:t xml:space="preserve">The Board decision dated 28 </w:t>
      </w:r>
      <w:r>
        <w:rPr>
          <w:sz w:val="25"/>
        </w:rPr>
        <w:t>August 2018 wrongly adopts the 2011 Census number as 23,33,500 whereas in the Board Note, the number of households as per the 2011 census is</w:t>
      </w:r>
      <w:r>
        <w:rPr>
          <w:spacing w:val="-10"/>
          <w:sz w:val="25"/>
        </w:rPr>
        <w:t xml:space="preserve"> </w:t>
      </w:r>
      <w:r>
        <w:rPr>
          <w:sz w:val="25"/>
        </w:rPr>
        <w:t>21,01,931;</w:t>
      </w:r>
    </w:p>
    <w:p w:rsidR="008215AB" w:rsidRDefault="006513FA">
      <w:pPr>
        <w:pStyle w:val="ListParagraph"/>
        <w:numPr>
          <w:ilvl w:val="1"/>
          <w:numId w:val="4"/>
        </w:numPr>
        <w:tabs>
          <w:tab w:val="left" w:pos="1661"/>
        </w:tabs>
        <w:spacing w:line="480" w:lineRule="auto"/>
        <w:ind w:right="337"/>
        <w:jc w:val="both"/>
        <w:rPr>
          <w:sz w:val="25"/>
        </w:rPr>
      </w:pPr>
      <w:r>
        <w:rPr>
          <w:sz w:val="25"/>
        </w:rPr>
        <w:t>There has been a breach of the principles of natural justice for the following</w:t>
      </w:r>
      <w:r>
        <w:rPr>
          <w:spacing w:val="-1"/>
          <w:sz w:val="25"/>
        </w:rPr>
        <w:t xml:space="preserve"> </w:t>
      </w:r>
      <w:r>
        <w:rPr>
          <w:sz w:val="25"/>
        </w:rPr>
        <w:t>reasons:</w:t>
      </w:r>
    </w:p>
    <w:p w:rsidR="008215AB" w:rsidRDefault="006513FA">
      <w:pPr>
        <w:pStyle w:val="ListParagraph"/>
        <w:numPr>
          <w:ilvl w:val="2"/>
          <w:numId w:val="4"/>
        </w:numPr>
        <w:tabs>
          <w:tab w:val="left" w:pos="2381"/>
        </w:tabs>
        <w:spacing w:line="480" w:lineRule="auto"/>
        <w:ind w:right="342"/>
        <w:jc w:val="both"/>
        <w:rPr>
          <w:sz w:val="25"/>
        </w:rPr>
      </w:pPr>
      <w:r>
        <w:rPr>
          <w:sz w:val="25"/>
        </w:rPr>
        <w:t>In the Board dec</w:t>
      </w:r>
      <w:r>
        <w:rPr>
          <w:sz w:val="25"/>
        </w:rPr>
        <w:t>ision dated 10 August 2018, it was decided to give a hearing to all affected</w:t>
      </w:r>
      <w:r>
        <w:rPr>
          <w:spacing w:val="-4"/>
          <w:sz w:val="25"/>
        </w:rPr>
        <w:t xml:space="preserve"> </w:t>
      </w:r>
      <w:r>
        <w:rPr>
          <w:sz w:val="25"/>
        </w:rPr>
        <w:t>parties;</w:t>
      </w:r>
    </w:p>
    <w:p w:rsidR="008215AB" w:rsidRDefault="006513FA">
      <w:pPr>
        <w:pStyle w:val="ListParagraph"/>
        <w:numPr>
          <w:ilvl w:val="2"/>
          <w:numId w:val="4"/>
        </w:numPr>
        <w:tabs>
          <w:tab w:val="left" w:pos="2381"/>
        </w:tabs>
        <w:spacing w:line="480" w:lineRule="auto"/>
        <w:ind w:right="337"/>
        <w:jc w:val="both"/>
        <w:rPr>
          <w:sz w:val="25"/>
        </w:rPr>
      </w:pPr>
      <w:r>
        <w:rPr>
          <w:sz w:val="25"/>
        </w:rPr>
        <w:t>The Board undertook the exercise of hearing only Torrent Gas Limited, AG &amp; P LNG and SKN Haryana;</w:t>
      </w:r>
      <w:r>
        <w:rPr>
          <w:spacing w:val="-6"/>
          <w:sz w:val="25"/>
        </w:rPr>
        <w:t xml:space="preserve"> </w:t>
      </w:r>
      <w:r>
        <w:rPr>
          <w:sz w:val="25"/>
        </w:rPr>
        <w:t>and</w:t>
      </w:r>
    </w:p>
    <w:p w:rsidR="008215AB" w:rsidRDefault="006513FA">
      <w:pPr>
        <w:pStyle w:val="ListParagraph"/>
        <w:numPr>
          <w:ilvl w:val="2"/>
          <w:numId w:val="4"/>
        </w:numPr>
        <w:tabs>
          <w:tab w:val="left" w:pos="2381"/>
        </w:tabs>
        <w:spacing w:line="480" w:lineRule="auto"/>
        <w:ind w:right="334"/>
        <w:jc w:val="both"/>
        <w:rPr>
          <w:sz w:val="25"/>
        </w:rPr>
      </w:pPr>
      <w:r>
        <w:rPr>
          <w:w w:val="99"/>
          <w:sz w:val="25"/>
        </w:rPr>
        <w:t>T</w:t>
      </w:r>
      <w:r>
        <w:rPr>
          <w:spacing w:val="-1"/>
          <w:w w:val="99"/>
          <w:sz w:val="25"/>
        </w:rPr>
        <w:t>h</w:t>
      </w:r>
      <w:r>
        <w:rPr>
          <w:w w:val="99"/>
          <w:sz w:val="25"/>
        </w:rPr>
        <w:t>e</w:t>
      </w:r>
      <w:r>
        <w:rPr>
          <w:spacing w:val="19"/>
          <w:sz w:val="25"/>
        </w:rPr>
        <w:t xml:space="preserve"> </w:t>
      </w:r>
      <w:r>
        <w:rPr>
          <w:spacing w:val="-3"/>
          <w:w w:val="99"/>
          <w:sz w:val="25"/>
        </w:rPr>
        <w:t>v</w:t>
      </w:r>
      <w:r>
        <w:rPr>
          <w:spacing w:val="-1"/>
          <w:w w:val="99"/>
          <w:sz w:val="25"/>
        </w:rPr>
        <w:t>iolati</w:t>
      </w:r>
      <w:r>
        <w:rPr>
          <w:w w:val="99"/>
          <w:sz w:val="25"/>
        </w:rPr>
        <w:t>on</w:t>
      </w:r>
      <w:r>
        <w:rPr>
          <w:spacing w:val="19"/>
          <w:sz w:val="25"/>
        </w:rPr>
        <w:t xml:space="preserve"> </w:t>
      </w:r>
      <w:r>
        <w:rPr>
          <w:spacing w:val="-1"/>
          <w:w w:val="99"/>
          <w:sz w:val="25"/>
        </w:rPr>
        <w:t>o</w:t>
      </w:r>
      <w:r>
        <w:rPr>
          <w:w w:val="99"/>
          <w:sz w:val="25"/>
        </w:rPr>
        <w:t>f</w:t>
      </w:r>
      <w:r>
        <w:rPr>
          <w:spacing w:val="19"/>
          <w:sz w:val="25"/>
        </w:rPr>
        <w:t xml:space="preserve"> </w:t>
      </w:r>
      <w:r>
        <w:rPr>
          <w:spacing w:val="-1"/>
          <w:w w:val="99"/>
          <w:sz w:val="25"/>
        </w:rPr>
        <w:t>n</w:t>
      </w:r>
      <w:r>
        <w:rPr>
          <w:w w:val="99"/>
          <w:sz w:val="25"/>
        </w:rPr>
        <w:t>atu</w:t>
      </w:r>
      <w:r>
        <w:rPr>
          <w:spacing w:val="1"/>
          <w:w w:val="99"/>
          <w:sz w:val="25"/>
        </w:rPr>
        <w:t>r</w:t>
      </w:r>
      <w:r>
        <w:rPr>
          <w:spacing w:val="-1"/>
          <w:w w:val="99"/>
          <w:sz w:val="25"/>
        </w:rPr>
        <w:t>a</w:t>
      </w:r>
      <w:r>
        <w:rPr>
          <w:w w:val="99"/>
          <w:sz w:val="25"/>
        </w:rPr>
        <w:t>l</w:t>
      </w:r>
      <w:r>
        <w:rPr>
          <w:spacing w:val="19"/>
          <w:sz w:val="25"/>
        </w:rPr>
        <w:t xml:space="preserve"> </w:t>
      </w:r>
      <w:r>
        <w:rPr>
          <w:spacing w:val="-1"/>
          <w:w w:val="99"/>
          <w:sz w:val="25"/>
        </w:rPr>
        <w:t>justic</w:t>
      </w:r>
      <w:r>
        <w:rPr>
          <w:w w:val="99"/>
          <w:sz w:val="25"/>
        </w:rPr>
        <w:t>e</w:t>
      </w:r>
      <w:r>
        <w:rPr>
          <w:spacing w:val="19"/>
          <w:sz w:val="25"/>
        </w:rPr>
        <w:t xml:space="preserve"> </w:t>
      </w:r>
      <w:r>
        <w:rPr>
          <w:spacing w:val="-1"/>
          <w:w w:val="99"/>
          <w:sz w:val="25"/>
        </w:rPr>
        <w:t>lie</w:t>
      </w:r>
      <w:r>
        <w:rPr>
          <w:w w:val="99"/>
          <w:sz w:val="25"/>
        </w:rPr>
        <w:t>s</w:t>
      </w:r>
      <w:r>
        <w:rPr>
          <w:spacing w:val="19"/>
          <w:sz w:val="25"/>
        </w:rPr>
        <w:t xml:space="preserve"> </w:t>
      </w:r>
      <w:r>
        <w:rPr>
          <w:spacing w:val="-1"/>
          <w:w w:val="99"/>
          <w:sz w:val="25"/>
        </w:rPr>
        <w:t>i</w:t>
      </w:r>
      <w:r>
        <w:rPr>
          <w:w w:val="99"/>
          <w:sz w:val="25"/>
        </w:rPr>
        <w:t>n</w:t>
      </w:r>
      <w:r>
        <w:rPr>
          <w:spacing w:val="19"/>
          <w:sz w:val="25"/>
        </w:rPr>
        <w:t xml:space="preserve"> </w:t>
      </w:r>
      <w:r>
        <w:rPr>
          <w:w w:val="99"/>
          <w:sz w:val="25"/>
        </w:rPr>
        <w:t>the</w:t>
      </w:r>
      <w:r>
        <w:rPr>
          <w:spacing w:val="19"/>
          <w:sz w:val="25"/>
        </w:rPr>
        <w:t xml:space="preserve"> </w:t>
      </w:r>
      <w:r>
        <w:rPr>
          <w:w w:val="99"/>
          <w:sz w:val="25"/>
        </w:rPr>
        <w:t>fact</w:t>
      </w:r>
      <w:r>
        <w:rPr>
          <w:spacing w:val="19"/>
          <w:sz w:val="25"/>
        </w:rPr>
        <w:t xml:space="preserve"> </w:t>
      </w:r>
      <w:r>
        <w:rPr>
          <w:w w:val="99"/>
          <w:sz w:val="25"/>
        </w:rPr>
        <w:t>that</w:t>
      </w:r>
      <w:r>
        <w:rPr>
          <w:spacing w:val="19"/>
          <w:sz w:val="25"/>
        </w:rPr>
        <w:t xml:space="preserve"> </w:t>
      </w:r>
      <w:r>
        <w:rPr>
          <w:w w:val="99"/>
          <w:sz w:val="25"/>
        </w:rPr>
        <w:t>these</w:t>
      </w:r>
      <w:r>
        <w:rPr>
          <w:spacing w:val="19"/>
          <w:sz w:val="25"/>
        </w:rPr>
        <w:t xml:space="preserve"> </w:t>
      </w:r>
      <w:r>
        <w:rPr>
          <w:w w:val="33"/>
          <w:sz w:val="25"/>
        </w:rPr>
        <w:t>―</w:t>
      </w:r>
      <w:r>
        <w:rPr>
          <w:spacing w:val="-1"/>
          <w:w w:val="99"/>
          <w:sz w:val="25"/>
        </w:rPr>
        <w:t>n</w:t>
      </w:r>
      <w:r>
        <w:rPr>
          <w:w w:val="99"/>
          <w:sz w:val="25"/>
        </w:rPr>
        <w:t>o</w:t>
      </w:r>
      <w:r>
        <w:rPr>
          <w:spacing w:val="5"/>
          <w:w w:val="99"/>
          <w:sz w:val="25"/>
        </w:rPr>
        <w:t>t</w:t>
      </w:r>
      <w:r>
        <w:rPr>
          <w:w w:val="99"/>
          <w:sz w:val="25"/>
        </w:rPr>
        <w:t xml:space="preserve">- </w:t>
      </w:r>
      <w:r>
        <w:rPr>
          <w:sz w:val="25"/>
        </w:rPr>
        <w:t xml:space="preserve">qualified‖ bidders were heard on why their bids were reasonable despite being above 100 per cent of the 2011 Census household data. Neither Adani Gas Limited nor any of the other unsuccessful bidders were heard on why the bids of </w:t>
      </w:r>
      <w:r>
        <w:rPr>
          <w:w w:val="99"/>
          <w:sz w:val="25"/>
        </w:rPr>
        <w:t>the</w:t>
      </w:r>
      <w:r>
        <w:rPr>
          <w:sz w:val="25"/>
        </w:rPr>
        <w:t xml:space="preserve"> </w:t>
      </w:r>
      <w:r>
        <w:rPr>
          <w:w w:val="33"/>
          <w:sz w:val="25"/>
        </w:rPr>
        <w:t>―</w:t>
      </w:r>
      <w:r>
        <w:rPr>
          <w:spacing w:val="-1"/>
          <w:w w:val="99"/>
          <w:sz w:val="25"/>
        </w:rPr>
        <w:t>n</w:t>
      </w:r>
      <w:r>
        <w:rPr>
          <w:w w:val="99"/>
          <w:sz w:val="25"/>
        </w:rPr>
        <w:t>o</w:t>
      </w:r>
      <w:r>
        <w:rPr>
          <w:spacing w:val="1"/>
          <w:w w:val="99"/>
          <w:sz w:val="25"/>
        </w:rPr>
        <w:t>t</w:t>
      </w:r>
      <w:r>
        <w:rPr>
          <w:w w:val="99"/>
          <w:sz w:val="25"/>
        </w:rPr>
        <w:t>-</w:t>
      </w:r>
      <w:r>
        <w:rPr>
          <w:spacing w:val="-1"/>
          <w:w w:val="99"/>
          <w:sz w:val="25"/>
        </w:rPr>
        <w:t>q</w:t>
      </w:r>
      <w:r>
        <w:rPr>
          <w:w w:val="99"/>
          <w:sz w:val="25"/>
        </w:rPr>
        <w:t>u</w:t>
      </w:r>
      <w:r>
        <w:rPr>
          <w:spacing w:val="-1"/>
          <w:w w:val="99"/>
          <w:sz w:val="25"/>
        </w:rPr>
        <w:t>alifie</w:t>
      </w:r>
      <w:r>
        <w:rPr>
          <w:w w:val="99"/>
          <w:sz w:val="25"/>
        </w:rPr>
        <w:t>d</w:t>
      </w:r>
      <w:r>
        <w:rPr>
          <w:w w:val="80"/>
          <w:sz w:val="25"/>
        </w:rPr>
        <w:t>‖</w:t>
      </w:r>
      <w:r>
        <w:rPr>
          <w:sz w:val="25"/>
        </w:rPr>
        <w:t xml:space="preserve"> </w:t>
      </w:r>
      <w:r>
        <w:rPr>
          <w:spacing w:val="-1"/>
          <w:w w:val="99"/>
          <w:sz w:val="25"/>
        </w:rPr>
        <w:t>bi</w:t>
      </w:r>
      <w:r>
        <w:rPr>
          <w:spacing w:val="-2"/>
          <w:w w:val="99"/>
          <w:sz w:val="25"/>
        </w:rPr>
        <w:t>d</w:t>
      </w:r>
      <w:r>
        <w:rPr>
          <w:spacing w:val="-1"/>
          <w:w w:val="99"/>
          <w:sz w:val="25"/>
        </w:rPr>
        <w:t>d</w:t>
      </w:r>
      <w:r>
        <w:rPr>
          <w:w w:val="99"/>
          <w:sz w:val="25"/>
        </w:rPr>
        <w:t>er</w:t>
      </w:r>
      <w:r>
        <w:rPr>
          <w:w w:val="99"/>
          <w:sz w:val="25"/>
        </w:rPr>
        <w:t>s</w:t>
      </w:r>
      <w:r>
        <w:rPr>
          <w:spacing w:val="-1"/>
          <w:sz w:val="25"/>
        </w:rPr>
        <w:t xml:space="preserve"> </w:t>
      </w:r>
      <w:r>
        <w:rPr>
          <w:spacing w:val="-1"/>
          <w:w w:val="99"/>
          <w:sz w:val="25"/>
        </w:rPr>
        <w:t>we</w:t>
      </w:r>
      <w:r>
        <w:rPr>
          <w:w w:val="99"/>
          <w:sz w:val="25"/>
        </w:rPr>
        <w:t>re</w:t>
      </w:r>
      <w:r>
        <w:rPr>
          <w:spacing w:val="-1"/>
          <w:sz w:val="25"/>
        </w:rPr>
        <w:t xml:space="preserve"> </w:t>
      </w:r>
      <w:r>
        <w:rPr>
          <w:w w:val="99"/>
          <w:sz w:val="25"/>
        </w:rPr>
        <w:t>actua</w:t>
      </w:r>
      <w:r>
        <w:rPr>
          <w:spacing w:val="-1"/>
          <w:w w:val="99"/>
          <w:sz w:val="25"/>
        </w:rPr>
        <w:t>ll</w:t>
      </w:r>
      <w:r>
        <w:rPr>
          <w:w w:val="99"/>
          <w:sz w:val="25"/>
        </w:rPr>
        <w:t>y</w:t>
      </w:r>
      <w:r>
        <w:rPr>
          <w:spacing w:val="-3"/>
          <w:sz w:val="25"/>
        </w:rPr>
        <w:t xml:space="preserve"> </w:t>
      </w:r>
      <w:r>
        <w:rPr>
          <w:spacing w:val="-1"/>
          <w:w w:val="99"/>
          <w:sz w:val="25"/>
        </w:rPr>
        <w:t>u</w:t>
      </w:r>
      <w:r>
        <w:rPr>
          <w:w w:val="99"/>
          <w:sz w:val="25"/>
        </w:rPr>
        <w:t>nr</w:t>
      </w:r>
      <w:r>
        <w:rPr>
          <w:spacing w:val="-1"/>
          <w:w w:val="99"/>
          <w:sz w:val="25"/>
        </w:rPr>
        <w:t>e</w:t>
      </w:r>
      <w:r>
        <w:rPr>
          <w:w w:val="99"/>
          <w:sz w:val="25"/>
        </w:rPr>
        <w:t>ason</w:t>
      </w:r>
      <w:r>
        <w:rPr>
          <w:spacing w:val="-1"/>
          <w:w w:val="99"/>
          <w:sz w:val="25"/>
        </w:rPr>
        <w:t>a</w:t>
      </w:r>
      <w:r>
        <w:rPr>
          <w:w w:val="99"/>
          <w:sz w:val="25"/>
        </w:rPr>
        <w:t>b</w:t>
      </w:r>
      <w:r>
        <w:rPr>
          <w:spacing w:val="-1"/>
          <w:w w:val="99"/>
          <w:sz w:val="25"/>
        </w:rPr>
        <w:t>le.</w:t>
      </w:r>
    </w:p>
    <w:p w:rsidR="008215AB" w:rsidRDefault="006513FA">
      <w:pPr>
        <w:pStyle w:val="ListParagraph"/>
        <w:numPr>
          <w:ilvl w:val="1"/>
          <w:numId w:val="4"/>
        </w:numPr>
        <w:tabs>
          <w:tab w:val="left" w:pos="1661"/>
        </w:tabs>
        <w:spacing w:line="480" w:lineRule="auto"/>
        <w:jc w:val="both"/>
        <w:rPr>
          <w:sz w:val="25"/>
        </w:rPr>
      </w:pPr>
      <w:r>
        <w:rPr>
          <w:sz w:val="25"/>
        </w:rPr>
        <w:t>This Court is justified in reviewing the process adopted by the Board in evaluating the bids for the ninth round of CGD bidding. It is well settled that judicial review cannot be denied even in contractual matters to prevent</w:t>
      </w:r>
      <w:r>
        <w:rPr>
          <w:spacing w:val="-3"/>
          <w:sz w:val="25"/>
        </w:rPr>
        <w:t xml:space="preserve"> </w:t>
      </w:r>
      <w:r>
        <w:rPr>
          <w:sz w:val="25"/>
        </w:rPr>
        <w:t>arbitrariness.</w:t>
      </w:r>
    </w:p>
    <w:p w:rsidR="008215AB" w:rsidRDefault="008215AB">
      <w:pPr>
        <w:pStyle w:val="BodyText"/>
      </w:pPr>
    </w:p>
    <w:p w:rsidR="008215AB" w:rsidRDefault="006513FA">
      <w:pPr>
        <w:pStyle w:val="ListParagraph"/>
        <w:numPr>
          <w:ilvl w:val="0"/>
          <w:numId w:val="4"/>
        </w:numPr>
        <w:tabs>
          <w:tab w:val="left" w:pos="941"/>
        </w:tabs>
        <w:spacing w:line="480" w:lineRule="auto"/>
        <w:ind w:right="334" w:firstLine="0"/>
        <w:jc w:val="both"/>
        <w:rPr>
          <w:sz w:val="25"/>
        </w:rPr>
      </w:pPr>
      <w:r>
        <w:rPr>
          <w:sz w:val="25"/>
        </w:rPr>
        <w:t xml:space="preserve">Our analysis of the CGD Authorisation Regulations, as amended on 6 April 2018, as explained earlier, reveals that the Regulations did not contain any stipulation determining a range of 2 to 100 per cent of the number of households under the 2011 Census as </w:t>
      </w:r>
      <w:r>
        <w:rPr>
          <w:sz w:val="25"/>
        </w:rPr>
        <w:t>the criterion to evaluate bids. The Regulations in fact do not link the ‗highness‘ factor of domestic PNG connections to the</w:t>
      </w:r>
      <w:r>
        <w:rPr>
          <w:spacing w:val="41"/>
          <w:sz w:val="25"/>
        </w:rPr>
        <w:t xml:space="preserve"> </w:t>
      </w:r>
      <w:r>
        <w:rPr>
          <w:sz w:val="25"/>
        </w:rPr>
        <w:t>2011</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6"/>
        <w:jc w:val="both"/>
      </w:pPr>
      <w:r>
        <w:t>Census data. In Clause 4.4.1 of the Bid Document, the Board reserved to itself the right to reject any unrea</w:t>
      </w:r>
      <w:r>
        <w:t>sonably high or low bid. In Addendum-1 to the Bid Document, the Board clarified to all prospective bidders that the evaluation of whether a bid was unreasonably low or high would be conducted on a case to case basis at the time of bid</w:t>
      </w:r>
      <w:r>
        <w:rPr>
          <w:spacing w:val="-4"/>
        </w:rPr>
        <w:t xml:space="preserve"> </w:t>
      </w:r>
      <w:r>
        <w:t>evaluation.</w:t>
      </w:r>
    </w:p>
    <w:p w:rsidR="008215AB" w:rsidRDefault="008215AB">
      <w:pPr>
        <w:pStyle w:val="BodyText"/>
      </w:pPr>
    </w:p>
    <w:p w:rsidR="008215AB" w:rsidRDefault="006513FA">
      <w:pPr>
        <w:pStyle w:val="ListParagraph"/>
        <w:numPr>
          <w:ilvl w:val="0"/>
          <w:numId w:val="4"/>
        </w:numPr>
        <w:tabs>
          <w:tab w:val="left" w:pos="941"/>
        </w:tabs>
        <w:spacing w:before="1" w:line="480" w:lineRule="auto"/>
        <w:ind w:right="335" w:firstLine="0"/>
        <w:jc w:val="both"/>
        <w:rPr>
          <w:sz w:val="25"/>
        </w:rPr>
      </w:pPr>
      <w:r>
        <w:rPr>
          <w:sz w:val="25"/>
        </w:rPr>
        <w:t>It is in</w:t>
      </w:r>
      <w:r>
        <w:rPr>
          <w:sz w:val="25"/>
        </w:rPr>
        <w:t xml:space="preserve"> the above background that the Board Note dated 23 July 2018 must be assessed. The Board Note was formulated after the last date for the submission of bids. The criterion which the Board Note proposed had not been notified to bidders. Bidders were not on n</w:t>
      </w:r>
      <w:r>
        <w:rPr>
          <w:sz w:val="25"/>
        </w:rPr>
        <w:t xml:space="preserve">otice that this would be the basis on which their bid would be evaluated. The Board Note took notice of Clause 4.4.1  of the Bid Document and stipulated that since technical bids for some GAs were about to be evaluated, it was necessary to decide upon the </w:t>
      </w:r>
      <w:r>
        <w:rPr>
          <w:sz w:val="25"/>
        </w:rPr>
        <w:t xml:space="preserve">reasonableness of the bidding parameters which constituted the work programme. It was in this </w:t>
      </w:r>
      <w:r>
        <w:rPr>
          <w:w w:val="99"/>
          <w:sz w:val="25"/>
        </w:rPr>
        <w:t>backg</w:t>
      </w:r>
      <w:r>
        <w:rPr>
          <w:spacing w:val="1"/>
          <w:w w:val="99"/>
          <w:sz w:val="25"/>
        </w:rPr>
        <w:t>r</w:t>
      </w:r>
      <w:r>
        <w:rPr>
          <w:w w:val="99"/>
          <w:sz w:val="25"/>
        </w:rPr>
        <w:t>ound</w:t>
      </w:r>
      <w:r>
        <w:rPr>
          <w:spacing w:val="12"/>
          <w:sz w:val="25"/>
        </w:rPr>
        <w:t xml:space="preserve"> </w:t>
      </w:r>
      <w:r>
        <w:rPr>
          <w:spacing w:val="1"/>
          <w:w w:val="99"/>
          <w:sz w:val="25"/>
        </w:rPr>
        <w:t>t</w:t>
      </w:r>
      <w:r>
        <w:rPr>
          <w:w w:val="99"/>
          <w:sz w:val="25"/>
        </w:rPr>
        <w:t>hat</w:t>
      </w:r>
      <w:r>
        <w:rPr>
          <w:spacing w:val="9"/>
          <w:sz w:val="25"/>
        </w:rPr>
        <w:t xml:space="preserve"> </w:t>
      </w:r>
      <w:r>
        <w:rPr>
          <w:w w:val="99"/>
          <w:sz w:val="25"/>
        </w:rPr>
        <w:t>the</w:t>
      </w:r>
      <w:r>
        <w:rPr>
          <w:spacing w:val="10"/>
          <w:sz w:val="25"/>
        </w:rPr>
        <w:t xml:space="preserve"> </w:t>
      </w:r>
      <w:r>
        <w:rPr>
          <w:spacing w:val="-1"/>
          <w:w w:val="99"/>
          <w:sz w:val="25"/>
        </w:rPr>
        <w:t>B</w:t>
      </w:r>
      <w:r>
        <w:rPr>
          <w:w w:val="99"/>
          <w:sz w:val="25"/>
        </w:rPr>
        <w:t>oard</w:t>
      </w:r>
      <w:r>
        <w:rPr>
          <w:spacing w:val="15"/>
          <w:sz w:val="25"/>
        </w:rPr>
        <w:t xml:space="preserve"> </w:t>
      </w:r>
      <w:r>
        <w:rPr>
          <w:spacing w:val="-1"/>
          <w:w w:val="99"/>
          <w:sz w:val="25"/>
        </w:rPr>
        <w:t>Not</w:t>
      </w:r>
      <w:r>
        <w:rPr>
          <w:w w:val="99"/>
          <w:sz w:val="25"/>
        </w:rPr>
        <w:t>e</w:t>
      </w:r>
      <w:r>
        <w:rPr>
          <w:spacing w:val="12"/>
          <w:sz w:val="25"/>
        </w:rPr>
        <w:t xml:space="preserve"> </w:t>
      </w:r>
      <w:r>
        <w:rPr>
          <w:spacing w:val="-1"/>
          <w:w w:val="99"/>
          <w:sz w:val="25"/>
        </w:rPr>
        <w:t>p</w:t>
      </w:r>
      <w:r>
        <w:rPr>
          <w:w w:val="99"/>
          <w:sz w:val="25"/>
        </w:rPr>
        <w:t>r</w:t>
      </w:r>
      <w:r>
        <w:rPr>
          <w:spacing w:val="-1"/>
          <w:w w:val="99"/>
          <w:sz w:val="25"/>
        </w:rPr>
        <w:t>o</w:t>
      </w:r>
      <w:r>
        <w:rPr>
          <w:spacing w:val="-2"/>
          <w:w w:val="99"/>
          <w:sz w:val="25"/>
        </w:rPr>
        <w:t>p</w:t>
      </w:r>
      <w:r>
        <w:rPr>
          <w:spacing w:val="-1"/>
          <w:w w:val="99"/>
          <w:sz w:val="25"/>
        </w:rPr>
        <w:t>os</w:t>
      </w:r>
      <w:r>
        <w:rPr>
          <w:w w:val="99"/>
          <w:sz w:val="25"/>
        </w:rPr>
        <w:t>ed</w:t>
      </w:r>
      <w:r>
        <w:rPr>
          <w:spacing w:val="9"/>
          <w:sz w:val="25"/>
        </w:rPr>
        <w:t xml:space="preserve"> </w:t>
      </w:r>
      <w:r>
        <w:rPr>
          <w:w w:val="99"/>
          <w:sz w:val="25"/>
        </w:rPr>
        <w:t>that;</w:t>
      </w:r>
      <w:r>
        <w:rPr>
          <w:spacing w:val="10"/>
          <w:sz w:val="25"/>
        </w:rPr>
        <w:t xml:space="preserve"> </w:t>
      </w:r>
      <w:r>
        <w:rPr>
          <w:w w:val="33"/>
          <w:sz w:val="25"/>
        </w:rPr>
        <w:t>―</w:t>
      </w:r>
      <w:r>
        <w:rPr>
          <w:w w:val="99"/>
          <w:sz w:val="25"/>
        </w:rPr>
        <w:t>…2</w:t>
      </w:r>
      <w:r>
        <w:rPr>
          <w:spacing w:val="12"/>
          <w:sz w:val="25"/>
        </w:rPr>
        <w:t xml:space="preserve"> </w:t>
      </w:r>
      <w:r>
        <w:rPr>
          <w:spacing w:val="-1"/>
          <w:w w:val="99"/>
          <w:sz w:val="25"/>
        </w:rPr>
        <w:t>p</w:t>
      </w:r>
      <w:r>
        <w:rPr>
          <w:w w:val="99"/>
          <w:sz w:val="25"/>
        </w:rPr>
        <w:t>er</w:t>
      </w:r>
      <w:r>
        <w:rPr>
          <w:spacing w:val="10"/>
          <w:sz w:val="25"/>
        </w:rPr>
        <w:t xml:space="preserve"> </w:t>
      </w:r>
      <w:r>
        <w:rPr>
          <w:w w:val="99"/>
          <w:sz w:val="25"/>
        </w:rPr>
        <w:t>cent</w:t>
      </w:r>
      <w:r>
        <w:rPr>
          <w:spacing w:val="9"/>
          <w:sz w:val="25"/>
        </w:rPr>
        <w:t xml:space="preserve"> </w:t>
      </w:r>
      <w:r>
        <w:rPr>
          <w:spacing w:val="-1"/>
          <w:w w:val="99"/>
          <w:sz w:val="25"/>
        </w:rPr>
        <w:t>o</w:t>
      </w:r>
      <w:r>
        <w:rPr>
          <w:w w:val="99"/>
          <w:sz w:val="25"/>
        </w:rPr>
        <w:t>f</w:t>
      </w:r>
      <w:r>
        <w:rPr>
          <w:spacing w:val="10"/>
          <w:sz w:val="25"/>
        </w:rPr>
        <w:t xml:space="preserve"> </w:t>
      </w:r>
      <w:r>
        <w:rPr>
          <w:w w:val="99"/>
          <w:sz w:val="25"/>
        </w:rPr>
        <w:t>tot</w:t>
      </w:r>
      <w:r>
        <w:rPr>
          <w:spacing w:val="-1"/>
          <w:w w:val="99"/>
          <w:sz w:val="25"/>
        </w:rPr>
        <w:t>a</w:t>
      </w:r>
      <w:r>
        <w:rPr>
          <w:w w:val="99"/>
          <w:sz w:val="25"/>
        </w:rPr>
        <w:t>l</w:t>
      </w:r>
      <w:r>
        <w:rPr>
          <w:spacing w:val="12"/>
          <w:sz w:val="25"/>
        </w:rPr>
        <w:t xml:space="preserve"> </w:t>
      </w:r>
      <w:r>
        <w:rPr>
          <w:spacing w:val="-1"/>
          <w:w w:val="99"/>
          <w:sz w:val="25"/>
        </w:rPr>
        <w:t>h</w:t>
      </w:r>
      <w:r>
        <w:rPr>
          <w:w w:val="99"/>
          <w:sz w:val="25"/>
        </w:rPr>
        <w:t>o</w:t>
      </w:r>
      <w:r>
        <w:rPr>
          <w:spacing w:val="-1"/>
          <w:w w:val="99"/>
          <w:sz w:val="25"/>
        </w:rPr>
        <w:t>us</w:t>
      </w:r>
      <w:r>
        <w:rPr>
          <w:w w:val="99"/>
          <w:sz w:val="25"/>
        </w:rPr>
        <w:t>e</w:t>
      </w:r>
      <w:r>
        <w:rPr>
          <w:spacing w:val="-1"/>
          <w:w w:val="99"/>
          <w:sz w:val="25"/>
        </w:rPr>
        <w:t>h</w:t>
      </w:r>
      <w:r>
        <w:rPr>
          <w:w w:val="99"/>
          <w:sz w:val="25"/>
        </w:rPr>
        <w:t>o</w:t>
      </w:r>
      <w:r>
        <w:rPr>
          <w:spacing w:val="-1"/>
          <w:w w:val="99"/>
          <w:sz w:val="25"/>
        </w:rPr>
        <w:t xml:space="preserve">lds </w:t>
      </w:r>
      <w:r>
        <w:rPr>
          <w:sz w:val="25"/>
        </w:rPr>
        <w:t>(as</w:t>
      </w:r>
      <w:r>
        <w:rPr>
          <w:spacing w:val="8"/>
          <w:sz w:val="25"/>
        </w:rPr>
        <w:t xml:space="preserve"> </w:t>
      </w:r>
      <w:r>
        <w:rPr>
          <w:sz w:val="25"/>
        </w:rPr>
        <w:t>per</w:t>
      </w:r>
      <w:r>
        <w:rPr>
          <w:spacing w:val="8"/>
          <w:sz w:val="25"/>
        </w:rPr>
        <w:t xml:space="preserve"> </w:t>
      </w:r>
      <w:r>
        <w:rPr>
          <w:sz w:val="25"/>
        </w:rPr>
        <w:t>the</w:t>
      </w:r>
      <w:r>
        <w:rPr>
          <w:spacing w:val="10"/>
          <w:sz w:val="25"/>
        </w:rPr>
        <w:t xml:space="preserve"> </w:t>
      </w:r>
      <w:r>
        <w:rPr>
          <w:sz w:val="25"/>
        </w:rPr>
        <w:t>2011</w:t>
      </w:r>
      <w:r>
        <w:rPr>
          <w:spacing w:val="8"/>
          <w:sz w:val="25"/>
        </w:rPr>
        <w:t xml:space="preserve"> </w:t>
      </w:r>
      <w:r>
        <w:rPr>
          <w:sz w:val="25"/>
        </w:rPr>
        <w:t>Census</w:t>
      </w:r>
      <w:r>
        <w:rPr>
          <w:spacing w:val="10"/>
          <w:sz w:val="25"/>
        </w:rPr>
        <w:t xml:space="preserve"> </w:t>
      </w:r>
      <w:r>
        <w:rPr>
          <w:sz w:val="25"/>
        </w:rPr>
        <w:t>data)</w:t>
      </w:r>
      <w:r>
        <w:rPr>
          <w:spacing w:val="10"/>
          <w:sz w:val="25"/>
        </w:rPr>
        <w:t xml:space="preserve"> </w:t>
      </w:r>
      <w:r>
        <w:rPr>
          <w:b/>
          <w:sz w:val="25"/>
          <w:u w:val="thick"/>
        </w:rPr>
        <w:t>may</w:t>
      </w:r>
      <w:r>
        <w:rPr>
          <w:b/>
          <w:spacing w:val="3"/>
          <w:sz w:val="25"/>
          <w:u w:val="thick"/>
        </w:rPr>
        <w:t xml:space="preserve"> </w:t>
      </w:r>
      <w:r>
        <w:rPr>
          <w:b/>
          <w:sz w:val="25"/>
          <w:u w:val="thick"/>
        </w:rPr>
        <w:t>be</w:t>
      </w:r>
      <w:r>
        <w:rPr>
          <w:b/>
          <w:spacing w:val="10"/>
          <w:sz w:val="25"/>
        </w:rPr>
        <w:t xml:space="preserve"> </w:t>
      </w:r>
      <w:r>
        <w:rPr>
          <w:sz w:val="25"/>
        </w:rPr>
        <w:t>considered</w:t>
      </w:r>
      <w:r>
        <w:rPr>
          <w:spacing w:val="8"/>
          <w:sz w:val="25"/>
        </w:rPr>
        <w:t xml:space="preserve"> </w:t>
      </w:r>
      <w:r>
        <w:rPr>
          <w:sz w:val="25"/>
        </w:rPr>
        <w:t>as</w:t>
      </w:r>
      <w:r>
        <w:rPr>
          <w:spacing w:val="9"/>
          <w:sz w:val="25"/>
        </w:rPr>
        <w:t xml:space="preserve"> </w:t>
      </w:r>
      <w:r>
        <w:rPr>
          <w:sz w:val="25"/>
        </w:rPr>
        <w:t>minimum‖.</w:t>
      </w:r>
      <w:r>
        <w:rPr>
          <w:spacing w:val="8"/>
          <w:sz w:val="25"/>
        </w:rPr>
        <w:t xml:space="preserve"> </w:t>
      </w:r>
      <w:r>
        <w:rPr>
          <w:sz w:val="25"/>
        </w:rPr>
        <w:t>As</w:t>
      </w:r>
      <w:r>
        <w:rPr>
          <w:spacing w:val="8"/>
          <w:sz w:val="25"/>
        </w:rPr>
        <w:t xml:space="preserve"> </w:t>
      </w:r>
      <w:r>
        <w:rPr>
          <w:sz w:val="25"/>
        </w:rPr>
        <w:t>regards</w:t>
      </w:r>
      <w:r>
        <w:rPr>
          <w:spacing w:val="8"/>
          <w:sz w:val="25"/>
        </w:rPr>
        <w:t xml:space="preserve"> </w:t>
      </w:r>
      <w:r>
        <w:rPr>
          <w:sz w:val="25"/>
        </w:rPr>
        <w:t>the</w:t>
      </w:r>
    </w:p>
    <w:p w:rsidR="008215AB" w:rsidRDefault="006513FA">
      <w:pPr>
        <w:pStyle w:val="BodyText"/>
        <w:spacing w:line="287" w:lineRule="exact"/>
        <w:ind w:left="220"/>
        <w:jc w:val="both"/>
      </w:pPr>
      <w:r>
        <w:t>maximum, the Board note proposed that:</w:t>
      </w:r>
    </w:p>
    <w:p w:rsidR="008215AB" w:rsidRDefault="008215AB">
      <w:pPr>
        <w:pStyle w:val="BodyText"/>
      </w:pPr>
    </w:p>
    <w:p w:rsidR="008215AB" w:rsidRDefault="006513FA">
      <w:pPr>
        <w:spacing w:line="273" w:lineRule="auto"/>
        <w:ind w:left="2380" w:right="2091"/>
        <w:rPr>
          <w:sz w:val="21"/>
        </w:rPr>
      </w:pPr>
      <w:r>
        <w:rPr>
          <w:w w:val="33"/>
          <w:sz w:val="21"/>
        </w:rPr>
        <w:t>―</w:t>
      </w:r>
      <w:r>
        <w:rPr>
          <w:sz w:val="21"/>
        </w:rPr>
        <w:t>beyond</w:t>
      </w:r>
      <w:r>
        <w:rPr>
          <w:sz w:val="21"/>
        </w:rPr>
        <w:t xml:space="preserve"> </w:t>
      </w:r>
      <w:r>
        <w:rPr>
          <w:sz w:val="21"/>
        </w:rPr>
        <w:t>100</w:t>
      </w:r>
      <w:r>
        <w:rPr>
          <w:sz w:val="21"/>
        </w:rPr>
        <w:t xml:space="preserve"> </w:t>
      </w:r>
      <w:r>
        <w:rPr>
          <w:sz w:val="21"/>
        </w:rPr>
        <w:t>per</w:t>
      </w:r>
      <w:r>
        <w:rPr>
          <w:sz w:val="21"/>
        </w:rPr>
        <w:t xml:space="preserve"> </w:t>
      </w:r>
      <w:r>
        <w:rPr>
          <w:sz w:val="21"/>
        </w:rPr>
        <w:t>cent</w:t>
      </w:r>
      <w:r>
        <w:rPr>
          <w:sz w:val="21"/>
        </w:rPr>
        <w:t xml:space="preserve"> </w:t>
      </w:r>
      <w:r>
        <w:rPr>
          <w:sz w:val="21"/>
        </w:rPr>
        <w:t>households</w:t>
      </w:r>
      <w:r>
        <w:rPr>
          <w:sz w:val="21"/>
        </w:rPr>
        <w:t xml:space="preserve"> </w:t>
      </w:r>
      <w:r>
        <w:rPr>
          <w:b/>
          <w:sz w:val="21"/>
          <w:u w:val="thick"/>
        </w:rPr>
        <w:t>may</w:t>
      </w:r>
      <w:r>
        <w:rPr>
          <w:b/>
          <w:sz w:val="21"/>
          <w:u w:val="thick"/>
        </w:rPr>
        <w:t xml:space="preserve"> </w:t>
      </w:r>
      <w:r>
        <w:rPr>
          <w:b/>
          <w:sz w:val="21"/>
          <w:u w:val="thick"/>
        </w:rPr>
        <w:t>be</w:t>
      </w:r>
      <w:r>
        <w:rPr>
          <w:b/>
          <w:sz w:val="21"/>
        </w:rPr>
        <w:t xml:space="preserve"> </w:t>
      </w:r>
      <w:r>
        <w:rPr>
          <w:sz w:val="21"/>
        </w:rPr>
        <w:t>treated</w:t>
      </w:r>
      <w:r>
        <w:rPr>
          <w:sz w:val="21"/>
        </w:rPr>
        <w:t xml:space="preserve"> </w:t>
      </w:r>
      <w:r>
        <w:rPr>
          <w:sz w:val="21"/>
        </w:rPr>
        <w:t xml:space="preserve">as </w:t>
      </w:r>
      <w:r>
        <w:rPr>
          <w:sz w:val="21"/>
        </w:rPr>
        <w:t>unreasonably quote‖</w:t>
      </w:r>
    </w:p>
    <w:p w:rsidR="008215AB" w:rsidRDefault="008215AB">
      <w:pPr>
        <w:pStyle w:val="BodyText"/>
        <w:spacing w:before="7"/>
        <w:rPr>
          <w:sz w:val="24"/>
        </w:rPr>
      </w:pPr>
    </w:p>
    <w:p w:rsidR="008215AB" w:rsidRDefault="006513FA">
      <w:pPr>
        <w:ind w:left="5518"/>
        <w:rPr>
          <w:sz w:val="21"/>
        </w:rPr>
      </w:pPr>
      <w:r>
        <w:rPr>
          <w:sz w:val="21"/>
        </w:rPr>
        <w:t>(Emphasis supplied)</w:t>
      </w:r>
    </w:p>
    <w:p w:rsidR="008215AB" w:rsidRDefault="008215AB">
      <w:pPr>
        <w:pStyle w:val="BodyText"/>
        <w:rPr>
          <w:sz w:val="24"/>
        </w:rPr>
      </w:pPr>
    </w:p>
    <w:p w:rsidR="008215AB" w:rsidRDefault="008215AB">
      <w:pPr>
        <w:pStyle w:val="BodyText"/>
        <w:spacing w:before="2"/>
        <w:rPr>
          <w:sz w:val="21"/>
        </w:rPr>
      </w:pPr>
    </w:p>
    <w:p w:rsidR="008215AB" w:rsidRDefault="006513FA">
      <w:pPr>
        <w:pStyle w:val="BodyText"/>
        <w:spacing w:line="480" w:lineRule="auto"/>
        <w:ind w:left="220" w:right="335"/>
        <w:jc w:val="both"/>
      </w:pPr>
      <w:r>
        <w:t xml:space="preserve">The terminology adopted by the Board Note indicates that the 2-100 per cent range was not laid down as an absolute or inflexible basis for disqualifying bids below the minimum or in excess of the maximum. On the contrary, the use of the </w:t>
      </w:r>
      <w:r>
        <w:rPr>
          <w:w w:val="99"/>
        </w:rPr>
        <w:t>expression</w:t>
      </w:r>
      <w:r>
        <w:t xml:space="preserve"> </w:t>
      </w:r>
      <w:r>
        <w:rPr>
          <w:w w:val="33"/>
        </w:rPr>
        <w:t>―</w:t>
      </w:r>
      <w:r>
        <w:rPr>
          <w:w w:val="99"/>
        </w:rPr>
        <w:t>may</w:t>
      </w:r>
      <w:r>
        <w:t xml:space="preserve"> </w:t>
      </w:r>
      <w:r>
        <w:rPr>
          <w:w w:val="99"/>
        </w:rPr>
        <w:t>be</w:t>
      </w:r>
      <w:r>
        <w:rPr>
          <w:w w:val="80"/>
        </w:rPr>
        <w:t>‖</w:t>
      </w:r>
      <w:r>
        <w:t xml:space="preserve"> </w:t>
      </w:r>
      <w:r>
        <w:rPr>
          <w:w w:val="99"/>
        </w:rPr>
        <w:t>is</w:t>
      </w:r>
      <w:r>
        <w:t xml:space="preserve"> </w:t>
      </w:r>
      <w:r>
        <w:rPr>
          <w:w w:val="99"/>
        </w:rPr>
        <w:t>one</w:t>
      </w:r>
      <w:r>
        <w:t xml:space="preserve"> </w:t>
      </w:r>
      <w:r>
        <w:rPr>
          <w:w w:val="99"/>
        </w:rPr>
        <w:t>indicator</w:t>
      </w:r>
      <w:r>
        <w:t xml:space="preserve"> </w:t>
      </w:r>
      <w:r>
        <w:rPr>
          <w:w w:val="99"/>
        </w:rPr>
        <w:t>that</w:t>
      </w:r>
      <w:r>
        <w:t xml:space="preserve"> </w:t>
      </w:r>
      <w:r>
        <w:rPr>
          <w:w w:val="99"/>
        </w:rPr>
        <w:t>a</w:t>
      </w:r>
      <w:r>
        <w:t xml:space="preserve"> </w:t>
      </w:r>
      <w:r>
        <w:rPr>
          <w:w w:val="99"/>
        </w:rPr>
        <w:t>bid</w:t>
      </w:r>
      <w:r>
        <w:t xml:space="preserve"> </w:t>
      </w:r>
      <w:r>
        <w:rPr>
          <w:w w:val="99"/>
        </w:rPr>
        <w:t>which</w:t>
      </w:r>
      <w:r>
        <w:t xml:space="preserve"> </w:t>
      </w:r>
      <w:r>
        <w:rPr>
          <w:w w:val="99"/>
        </w:rPr>
        <w:t>was</w:t>
      </w:r>
      <w:r>
        <w:t xml:space="preserve"> </w:t>
      </w:r>
      <w:r>
        <w:rPr>
          <w:w w:val="99"/>
        </w:rPr>
        <w:t>below</w:t>
      </w:r>
      <w:r>
        <w:t xml:space="preserve"> </w:t>
      </w:r>
      <w:r>
        <w:rPr>
          <w:w w:val="99"/>
        </w:rPr>
        <w:t>2</w:t>
      </w:r>
      <w:r>
        <w:t xml:space="preserve"> </w:t>
      </w:r>
      <w:r>
        <w:rPr>
          <w:w w:val="99"/>
        </w:rPr>
        <w:t>per</w:t>
      </w:r>
      <w:r>
        <w:t xml:space="preserve"> </w:t>
      </w:r>
      <w:r>
        <w:rPr>
          <w:w w:val="99"/>
        </w:rPr>
        <w:t>cent</w:t>
      </w:r>
      <w:r>
        <w:t xml:space="preserve"> </w:t>
      </w:r>
      <w:r>
        <w:rPr>
          <w:w w:val="99"/>
        </w:rPr>
        <w:t>or</w:t>
      </w:r>
      <w:r>
        <w:t xml:space="preserve"> </w:t>
      </w:r>
      <w:r>
        <w:rPr>
          <w:w w:val="99"/>
        </w:rPr>
        <w:t xml:space="preserve">in </w:t>
      </w:r>
      <w:r>
        <w:t>excess of 100 per cent may trigger the exercise of the power which the Board</w:t>
      </w:r>
    </w:p>
    <w:p w:rsidR="008215AB" w:rsidRDefault="008215AB">
      <w:pPr>
        <w:spacing w:line="480" w:lineRule="auto"/>
        <w:jc w:val="both"/>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7"/>
        <w:jc w:val="both"/>
      </w:pPr>
      <w:r>
        <w:t>had reserved to itself in clause 4.4.1 of the Bid Document. On its plain terms, the Board Note cannot be construed to have laid down an absolute norm by which bids quoting below the minimum of 2 per cent or above the ceiling of 100 per cent of the number o</w:t>
      </w:r>
      <w:r>
        <w:t>f households under the 2011 Census data would automatically be rejected as unreasonable.</w:t>
      </w:r>
    </w:p>
    <w:p w:rsidR="008215AB" w:rsidRDefault="008215AB">
      <w:pPr>
        <w:pStyle w:val="BodyText"/>
      </w:pPr>
    </w:p>
    <w:p w:rsidR="008215AB" w:rsidRDefault="006513FA">
      <w:pPr>
        <w:pStyle w:val="ListParagraph"/>
        <w:numPr>
          <w:ilvl w:val="0"/>
          <w:numId w:val="4"/>
        </w:numPr>
        <w:tabs>
          <w:tab w:val="left" w:pos="941"/>
        </w:tabs>
        <w:spacing w:before="1" w:line="480" w:lineRule="auto"/>
        <w:ind w:right="334" w:firstLine="0"/>
        <w:jc w:val="both"/>
        <w:rPr>
          <w:sz w:val="25"/>
        </w:rPr>
      </w:pPr>
      <w:r>
        <w:rPr>
          <w:sz w:val="25"/>
        </w:rPr>
        <w:t>If the Board Note of 23 July 2018 were to be construed in the manner in which the learned Senior Counsel for the appellants urged, the automatic disqualification of b</w:t>
      </w:r>
      <w:r>
        <w:rPr>
          <w:sz w:val="25"/>
        </w:rPr>
        <w:t xml:space="preserve">idders based on a criterion introduced by the Board Note would raise serious doubts about its fairness and legality. This is because the Board Note was not notified to bidders as a basis for the evaluation of bids before the date for the submission of the </w:t>
      </w:r>
      <w:r>
        <w:rPr>
          <w:sz w:val="25"/>
        </w:rPr>
        <w:t>bids had closed. To disqualify a bidder on the basis of a criterion which was not notified and of which bidders had no knowledge would be arbitrary and would constitute an infraction of Article 14. The Board was thus correct in determining that the automat</w:t>
      </w:r>
      <w:r>
        <w:rPr>
          <w:sz w:val="25"/>
        </w:rPr>
        <w:t xml:space="preserve">ic disqualification of a bid on the basis of a criterion specified in the Board Note (which was never notified to the bidders) </w:t>
      </w:r>
      <w:r>
        <w:rPr>
          <w:spacing w:val="-1"/>
          <w:w w:val="99"/>
          <w:sz w:val="25"/>
        </w:rPr>
        <w:t>woul</w:t>
      </w:r>
      <w:r>
        <w:rPr>
          <w:w w:val="99"/>
          <w:sz w:val="25"/>
        </w:rPr>
        <w:t>d</w:t>
      </w:r>
      <w:r>
        <w:rPr>
          <w:sz w:val="25"/>
        </w:rPr>
        <w:t xml:space="preserve"> </w:t>
      </w:r>
      <w:r>
        <w:rPr>
          <w:spacing w:val="-17"/>
          <w:sz w:val="25"/>
        </w:rPr>
        <w:t xml:space="preserve"> </w:t>
      </w:r>
      <w:r>
        <w:rPr>
          <w:spacing w:val="-1"/>
          <w:w w:val="99"/>
          <w:sz w:val="25"/>
        </w:rPr>
        <w:t>n</w:t>
      </w:r>
      <w:r>
        <w:rPr>
          <w:w w:val="99"/>
          <w:sz w:val="25"/>
        </w:rPr>
        <w:t>ot</w:t>
      </w:r>
      <w:r>
        <w:rPr>
          <w:sz w:val="25"/>
        </w:rPr>
        <w:t xml:space="preserve"> </w:t>
      </w:r>
      <w:r>
        <w:rPr>
          <w:spacing w:val="-17"/>
          <w:sz w:val="25"/>
        </w:rPr>
        <w:t xml:space="preserve"> </w:t>
      </w:r>
      <w:r>
        <w:rPr>
          <w:spacing w:val="-1"/>
          <w:w w:val="99"/>
          <w:sz w:val="25"/>
        </w:rPr>
        <w:t>b</w:t>
      </w:r>
      <w:r>
        <w:rPr>
          <w:w w:val="99"/>
          <w:sz w:val="25"/>
        </w:rPr>
        <w:t>e</w:t>
      </w:r>
      <w:r>
        <w:rPr>
          <w:sz w:val="25"/>
        </w:rPr>
        <w:t xml:space="preserve"> </w:t>
      </w:r>
      <w:r>
        <w:rPr>
          <w:spacing w:val="-17"/>
          <w:sz w:val="25"/>
        </w:rPr>
        <w:t xml:space="preserve"> </w:t>
      </w:r>
      <w:r>
        <w:rPr>
          <w:w w:val="33"/>
          <w:sz w:val="25"/>
        </w:rPr>
        <w:t>―</w:t>
      </w:r>
      <w:r>
        <w:rPr>
          <w:spacing w:val="-1"/>
          <w:w w:val="99"/>
          <w:sz w:val="25"/>
        </w:rPr>
        <w:t>leg</w:t>
      </w:r>
      <w:r>
        <w:rPr>
          <w:w w:val="99"/>
          <w:sz w:val="25"/>
        </w:rPr>
        <w:t>a</w:t>
      </w:r>
      <w:r>
        <w:rPr>
          <w:spacing w:val="-1"/>
          <w:w w:val="99"/>
          <w:sz w:val="25"/>
        </w:rPr>
        <w:t>l</w:t>
      </w:r>
      <w:r>
        <w:rPr>
          <w:spacing w:val="1"/>
          <w:w w:val="99"/>
          <w:sz w:val="25"/>
        </w:rPr>
        <w:t>l</w:t>
      </w:r>
      <w:r>
        <w:rPr>
          <w:w w:val="99"/>
          <w:sz w:val="25"/>
        </w:rPr>
        <w:t>y</w:t>
      </w:r>
      <w:r>
        <w:rPr>
          <w:sz w:val="25"/>
        </w:rPr>
        <w:t xml:space="preserve"> </w:t>
      </w:r>
      <w:r>
        <w:rPr>
          <w:spacing w:val="-17"/>
          <w:sz w:val="25"/>
        </w:rPr>
        <w:t xml:space="preserve"> </w:t>
      </w:r>
      <w:r>
        <w:rPr>
          <w:w w:val="99"/>
          <w:sz w:val="25"/>
        </w:rPr>
        <w:t>co</w:t>
      </w:r>
      <w:r>
        <w:rPr>
          <w:spacing w:val="1"/>
          <w:w w:val="99"/>
          <w:sz w:val="25"/>
        </w:rPr>
        <w:t>r</w:t>
      </w:r>
      <w:r>
        <w:rPr>
          <w:w w:val="99"/>
          <w:sz w:val="25"/>
        </w:rPr>
        <w:t>r</w:t>
      </w:r>
      <w:r>
        <w:rPr>
          <w:spacing w:val="-1"/>
          <w:w w:val="95"/>
          <w:sz w:val="25"/>
        </w:rPr>
        <w:t>ect</w:t>
      </w:r>
      <w:r>
        <w:rPr>
          <w:spacing w:val="1"/>
          <w:w w:val="95"/>
          <w:sz w:val="25"/>
        </w:rPr>
        <w:t>‖</w:t>
      </w:r>
      <w:r>
        <w:rPr>
          <w:w w:val="99"/>
          <w:sz w:val="25"/>
        </w:rPr>
        <w:t>.</w:t>
      </w:r>
      <w:r>
        <w:rPr>
          <w:sz w:val="25"/>
        </w:rPr>
        <w:t xml:space="preserve"> </w:t>
      </w:r>
      <w:r>
        <w:rPr>
          <w:spacing w:val="-12"/>
          <w:sz w:val="25"/>
        </w:rPr>
        <w:t xml:space="preserve"> </w:t>
      </w:r>
      <w:r>
        <w:rPr>
          <w:w w:val="99"/>
          <w:sz w:val="25"/>
        </w:rPr>
        <w:t>Hence,</w:t>
      </w:r>
      <w:r>
        <w:rPr>
          <w:sz w:val="25"/>
        </w:rPr>
        <w:t xml:space="preserve"> </w:t>
      </w:r>
      <w:r>
        <w:rPr>
          <w:spacing w:val="-17"/>
          <w:sz w:val="25"/>
        </w:rPr>
        <w:t xml:space="preserve"> </w:t>
      </w:r>
      <w:r>
        <w:rPr>
          <w:w w:val="99"/>
          <w:sz w:val="25"/>
        </w:rPr>
        <w:t>it</w:t>
      </w:r>
      <w:r>
        <w:rPr>
          <w:sz w:val="25"/>
        </w:rPr>
        <w:t xml:space="preserve"> </w:t>
      </w:r>
      <w:r>
        <w:rPr>
          <w:spacing w:val="-15"/>
          <w:sz w:val="25"/>
        </w:rPr>
        <w:t xml:space="preserve"> </w:t>
      </w:r>
      <w:r>
        <w:rPr>
          <w:w w:val="99"/>
          <w:sz w:val="25"/>
        </w:rPr>
        <w:t>would</w:t>
      </w:r>
      <w:r>
        <w:rPr>
          <w:sz w:val="25"/>
        </w:rPr>
        <w:t xml:space="preserve"> </w:t>
      </w:r>
      <w:r>
        <w:rPr>
          <w:spacing w:val="-17"/>
          <w:sz w:val="25"/>
        </w:rPr>
        <w:t xml:space="preserve"> </w:t>
      </w:r>
      <w:r>
        <w:rPr>
          <w:w w:val="99"/>
          <w:sz w:val="25"/>
        </w:rPr>
        <w:t>be</w:t>
      </w:r>
      <w:r>
        <w:rPr>
          <w:sz w:val="25"/>
        </w:rPr>
        <w:t xml:space="preserve"> </w:t>
      </w:r>
      <w:r>
        <w:rPr>
          <w:spacing w:val="-17"/>
          <w:sz w:val="25"/>
        </w:rPr>
        <w:t xml:space="preserve"> </w:t>
      </w:r>
      <w:r>
        <w:rPr>
          <w:w w:val="99"/>
          <w:sz w:val="25"/>
        </w:rPr>
        <w:t>reasonable</w:t>
      </w:r>
      <w:r>
        <w:rPr>
          <w:sz w:val="25"/>
        </w:rPr>
        <w:t xml:space="preserve"> </w:t>
      </w:r>
      <w:r>
        <w:rPr>
          <w:spacing w:val="-17"/>
          <w:sz w:val="25"/>
        </w:rPr>
        <w:t xml:space="preserve"> </w:t>
      </w:r>
      <w:r>
        <w:rPr>
          <w:w w:val="99"/>
          <w:sz w:val="25"/>
        </w:rPr>
        <w:t>to</w:t>
      </w:r>
      <w:r>
        <w:rPr>
          <w:sz w:val="25"/>
        </w:rPr>
        <w:t xml:space="preserve"> </w:t>
      </w:r>
      <w:r>
        <w:rPr>
          <w:spacing w:val="-17"/>
          <w:sz w:val="25"/>
        </w:rPr>
        <w:t xml:space="preserve"> </w:t>
      </w:r>
      <w:r>
        <w:rPr>
          <w:w w:val="99"/>
          <w:sz w:val="25"/>
        </w:rPr>
        <w:t>interp</w:t>
      </w:r>
      <w:r>
        <w:rPr>
          <w:spacing w:val="1"/>
          <w:w w:val="99"/>
          <w:sz w:val="25"/>
        </w:rPr>
        <w:t>r</w:t>
      </w:r>
      <w:r>
        <w:rPr>
          <w:w w:val="99"/>
          <w:sz w:val="25"/>
        </w:rPr>
        <w:t>et</w:t>
      </w:r>
      <w:r>
        <w:rPr>
          <w:sz w:val="25"/>
        </w:rPr>
        <w:t xml:space="preserve"> </w:t>
      </w:r>
      <w:r>
        <w:rPr>
          <w:spacing w:val="-17"/>
          <w:sz w:val="25"/>
        </w:rPr>
        <w:t xml:space="preserve"> </w:t>
      </w:r>
      <w:r>
        <w:rPr>
          <w:w w:val="99"/>
          <w:sz w:val="25"/>
        </w:rPr>
        <w:t xml:space="preserve">the </w:t>
      </w:r>
      <w:r>
        <w:rPr>
          <w:sz w:val="25"/>
        </w:rPr>
        <w:t>Board Note dated 23 July 2018 as being the formulation of a guideline for the Board. As a guideline in the process of evaluation, the decision taken by the Board on 23 July 2018 was not to the effect that every bid below 2 per cent or above 100 per cent wo</w:t>
      </w:r>
      <w:r>
        <w:rPr>
          <w:sz w:val="25"/>
        </w:rPr>
        <w:t>uld necessarily stand disqualified. Consistently with the use of the word ‗may be‘, as already noticed, the decision of the Board meant that the power which the Board reserved to itself in Clause 4.4.1 could  be invoked if it came to the conclusion that th</w:t>
      </w:r>
      <w:r>
        <w:rPr>
          <w:sz w:val="25"/>
        </w:rPr>
        <w:t>e bid had not been justified to be reasonable.</w:t>
      </w:r>
      <w:r>
        <w:rPr>
          <w:spacing w:val="23"/>
          <w:sz w:val="25"/>
        </w:rPr>
        <w:t xml:space="preserve"> </w:t>
      </w:r>
      <w:r>
        <w:rPr>
          <w:sz w:val="25"/>
        </w:rPr>
        <w:t>In</w:t>
      </w:r>
      <w:r>
        <w:rPr>
          <w:spacing w:val="23"/>
          <w:sz w:val="25"/>
        </w:rPr>
        <w:t xml:space="preserve"> </w:t>
      </w:r>
      <w:r>
        <w:rPr>
          <w:sz w:val="25"/>
        </w:rPr>
        <w:t>other</w:t>
      </w:r>
      <w:r>
        <w:rPr>
          <w:spacing w:val="21"/>
          <w:sz w:val="25"/>
        </w:rPr>
        <w:t xml:space="preserve"> </w:t>
      </w:r>
      <w:r>
        <w:rPr>
          <w:sz w:val="25"/>
        </w:rPr>
        <w:t>words,</w:t>
      </w:r>
      <w:r>
        <w:rPr>
          <w:spacing w:val="23"/>
          <w:sz w:val="25"/>
        </w:rPr>
        <w:t xml:space="preserve"> </w:t>
      </w:r>
      <w:r>
        <w:rPr>
          <w:sz w:val="25"/>
        </w:rPr>
        <w:t>the</w:t>
      </w:r>
      <w:r>
        <w:rPr>
          <w:spacing w:val="23"/>
          <w:sz w:val="25"/>
        </w:rPr>
        <w:t xml:space="preserve"> </w:t>
      </w:r>
      <w:r>
        <w:rPr>
          <w:sz w:val="25"/>
        </w:rPr>
        <w:t>breaching</w:t>
      </w:r>
      <w:r>
        <w:rPr>
          <w:spacing w:val="21"/>
          <w:sz w:val="25"/>
        </w:rPr>
        <w:t xml:space="preserve"> </w:t>
      </w:r>
      <w:r>
        <w:rPr>
          <w:sz w:val="25"/>
        </w:rPr>
        <w:t>of</w:t>
      </w:r>
      <w:r>
        <w:rPr>
          <w:spacing w:val="23"/>
          <w:sz w:val="25"/>
        </w:rPr>
        <w:t xml:space="preserve"> </w:t>
      </w:r>
      <w:r>
        <w:rPr>
          <w:sz w:val="25"/>
        </w:rPr>
        <w:t>the</w:t>
      </w:r>
      <w:r>
        <w:rPr>
          <w:spacing w:val="21"/>
          <w:sz w:val="25"/>
        </w:rPr>
        <w:t xml:space="preserve"> </w:t>
      </w:r>
      <w:r>
        <w:rPr>
          <w:sz w:val="25"/>
        </w:rPr>
        <w:t>range</w:t>
      </w:r>
      <w:r>
        <w:rPr>
          <w:spacing w:val="24"/>
          <w:sz w:val="25"/>
        </w:rPr>
        <w:t xml:space="preserve"> </w:t>
      </w:r>
      <w:r>
        <w:rPr>
          <w:sz w:val="25"/>
        </w:rPr>
        <w:t>of</w:t>
      </w:r>
      <w:r>
        <w:rPr>
          <w:spacing w:val="21"/>
          <w:sz w:val="25"/>
        </w:rPr>
        <w:t xml:space="preserve"> </w:t>
      </w:r>
      <w:r>
        <w:rPr>
          <w:sz w:val="25"/>
        </w:rPr>
        <w:t>2-100</w:t>
      </w:r>
      <w:r>
        <w:rPr>
          <w:spacing w:val="23"/>
          <w:sz w:val="25"/>
        </w:rPr>
        <w:t xml:space="preserve"> </w:t>
      </w:r>
      <w:r>
        <w:rPr>
          <w:sz w:val="25"/>
        </w:rPr>
        <w:t>per</w:t>
      </w:r>
      <w:r>
        <w:rPr>
          <w:spacing w:val="23"/>
          <w:sz w:val="25"/>
        </w:rPr>
        <w:t xml:space="preserve"> </w:t>
      </w:r>
      <w:r>
        <w:rPr>
          <w:sz w:val="25"/>
        </w:rPr>
        <w:t>cent</w:t>
      </w:r>
      <w:r>
        <w:rPr>
          <w:spacing w:val="22"/>
          <w:sz w:val="25"/>
        </w:rPr>
        <w:t xml:space="preserve"> </w:t>
      </w:r>
      <w:r>
        <w:rPr>
          <w:sz w:val="25"/>
        </w:rPr>
        <w:t>was</w:t>
      </w:r>
      <w:r>
        <w:rPr>
          <w:spacing w:val="23"/>
          <w:sz w:val="25"/>
        </w:rPr>
        <w:t xml:space="preserve"> </w:t>
      </w:r>
      <w:r>
        <w:rPr>
          <w:sz w:val="25"/>
        </w:rPr>
        <w:t>a</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6"/>
        <w:jc w:val="both"/>
      </w:pPr>
      <w:r>
        <w:t>trigger for the Board to scrutinise the bid and determine whether the power under Clause 4.4.1 should be invoked. Hence, the</w:t>
      </w:r>
      <w:r>
        <w:t xml:space="preserve"> course of action which the Board followed of calling upon the bidders with the highest composite scores in GAs 51, 61 and 62 to justify their bids in terms of their reasonableness cannot be faulted. On the contrary, if the Board had rejected these bids so</w:t>
      </w:r>
      <w:r>
        <w:t>lely on the ground that they were above the limit of 100 per cent of households under the 2011 Census data, the decision would have been seriously flawed for having applied a criterion which was not a part of the Regulations, was not embodied in the Bid Do</w:t>
      </w:r>
      <w:r>
        <w:t>cument and in any event, was not notified to bidders before they had submitted their bids.</w:t>
      </w:r>
    </w:p>
    <w:p w:rsidR="008215AB" w:rsidRDefault="008215AB">
      <w:pPr>
        <w:pStyle w:val="BodyText"/>
      </w:pPr>
    </w:p>
    <w:p w:rsidR="008215AB" w:rsidRDefault="006513FA">
      <w:pPr>
        <w:pStyle w:val="ListParagraph"/>
        <w:numPr>
          <w:ilvl w:val="0"/>
          <w:numId w:val="4"/>
        </w:numPr>
        <w:tabs>
          <w:tab w:val="left" w:pos="941"/>
        </w:tabs>
        <w:spacing w:before="1" w:line="480" w:lineRule="auto"/>
        <w:ind w:firstLine="0"/>
        <w:jc w:val="both"/>
        <w:rPr>
          <w:sz w:val="25"/>
        </w:rPr>
      </w:pPr>
      <w:r>
        <w:rPr>
          <w:sz w:val="25"/>
        </w:rPr>
        <w:t>Another limb of the submission is that, with respect to GA 62, three out of the four members of the Board had in the Board agenda dated 9 August 2018 recommended th</w:t>
      </w:r>
      <w:r>
        <w:rPr>
          <w:sz w:val="25"/>
        </w:rPr>
        <w:t>at Torrent Gas Private Limited was not qualified and that Adani Gas Limited be declared as the successful bidder. This, in our view, is an incorrect reading of the agenda note. What this submission misses is the last paragraph of the Board agenda note whic</w:t>
      </w:r>
      <w:r>
        <w:rPr>
          <w:sz w:val="25"/>
        </w:rPr>
        <w:t>h</w:t>
      </w:r>
      <w:r>
        <w:rPr>
          <w:spacing w:val="-6"/>
          <w:sz w:val="25"/>
        </w:rPr>
        <w:t xml:space="preserve"> </w:t>
      </w:r>
      <w:r>
        <w:rPr>
          <w:sz w:val="25"/>
        </w:rPr>
        <w:t>states:</w:t>
      </w:r>
    </w:p>
    <w:p w:rsidR="008215AB" w:rsidRDefault="006513FA">
      <w:pPr>
        <w:spacing w:line="276" w:lineRule="auto"/>
        <w:ind w:left="1660" w:right="2161"/>
        <w:jc w:val="both"/>
        <w:rPr>
          <w:sz w:val="21"/>
        </w:rPr>
      </w:pPr>
      <w:r>
        <w:rPr>
          <w:w w:val="33"/>
          <w:sz w:val="21"/>
        </w:rPr>
        <w:t>―</w:t>
      </w:r>
      <w:r>
        <w:rPr>
          <w:sz w:val="21"/>
        </w:rPr>
        <w:t>20.</w:t>
      </w:r>
      <w:r>
        <w:rPr>
          <w:sz w:val="21"/>
        </w:rPr>
        <w:t xml:space="preserve"> </w:t>
      </w:r>
      <w:r>
        <w:rPr>
          <w:b/>
          <w:sz w:val="21"/>
        </w:rPr>
        <w:t>This</w:t>
      </w:r>
      <w:r>
        <w:rPr>
          <w:b/>
          <w:sz w:val="21"/>
        </w:rPr>
        <w:t xml:space="preserve"> </w:t>
      </w:r>
      <w:r>
        <w:rPr>
          <w:b/>
          <w:sz w:val="21"/>
        </w:rPr>
        <w:t>Agenda</w:t>
      </w:r>
      <w:r>
        <w:rPr>
          <w:b/>
          <w:sz w:val="21"/>
        </w:rPr>
        <w:t xml:space="preserve"> </w:t>
      </w:r>
      <w:r>
        <w:rPr>
          <w:b/>
          <w:sz w:val="21"/>
        </w:rPr>
        <w:t>note</w:t>
      </w:r>
      <w:r>
        <w:rPr>
          <w:b/>
          <w:sz w:val="21"/>
        </w:rPr>
        <w:t xml:space="preserve"> </w:t>
      </w:r>
      <w:r>
        <w:rPr>
          <w:b/>
          <w:sz w:val="21"/>
        </w:rPr>
        <w:t>has</w:t>
      </w:r>
      <w:r>
        <w:rPr>
          <w:b/>
          <w:sz w:val="21"/>
        </w:rPr>
        <w:t xml:space="preserve"> </w:t>
      </w:r>
      <w:r>
        <w:rPr>
          <w:b/>
          <w:sz w:val="21"/>
        </w:rPr>
        <w:t>been</w:t>
      </w:r>
      <w:r>
        <w:rPr>
          <w:b/>
          <w:sz w:val="21"/>
        </w:rPr>
        <w:t xml:space="preserve"> </w:t>
      </w:r>
      <w:r>
        <w:rPr>
          <w:b/>
          <w:sz w:val="21"/>
        </w:rPr>
        <w:t>prepared</w:t>
      </w:r>
      <w:r>
        <w:rPr>
          <w:b/>
          <w:sz w:val="21"/>
        </w:rPr>
        <w:t xml:space="preserve"> </w:t>
      </w:r>
      <w:r>
        <w:rPr>
          <w:sz w:val="21"/>
        </w:rPr>
        <w:t>by</w:t>
      </w:r>
      <w:r>
        <w:rPr>
          <w:sz w:val="21"/>
        </w:rPr>
        <w:t xml:space="preserve"> </w:t>
      </w:r>
      <w:r>
        <w:rPr>
          <w:sz w:val="21"/>
        </w:rPr>
        <w:t xml:space="preserve">Authorization </w:t>
      </w:r>
      <w:r>
        <w:rPr>
          <w:sz w:val="21"/>
        </w:rPr>
        <w:t xml:space="preserve">Division, concurred by Member (I&amp;T) &amp; Member (C&amp;M) and approved by Chairperson </w:t>
      </w:r>
      <w:r>
        <w:rPr>
          <w:b/>
          <w:sz w:val="21"/>
        </w:rPr>
        <w:t>for deliberations and approval of the Board</w:t>
      </w:r>
      <w:r>
        <w:rPr>
          <w:sz w:val="21"/>
        </w:rPr>
        <w:t>.‖</w:t>
      </w:r>
    </w:p>
    <w:p w:rsidR="008215AB" w:rsidRDefault="008215AB">
      <w:pPr>
        <w:pStyle w:val="BodyText"/>
        <w:spacing w:before="1"/>
        <w:rPr>
          <w:sz w:val="24"/>
        </w:rPr>
      </w:pPr>
    </w:p>
    <w:p w:rsidR="008215AB" w:rsidRDefault="006513FA">
      <w:pPr>
        <w:spacing w:before="1"/>
        <w:ind w:left="5518"/>
        <w:rPr>
          <w:sz w:val="21"/>
        </w:rPr>
      </w:pPr>
      <w:r>
        <w:rPr>
          <w:sz w:val="21"/>
        </w:rPr>
        <w:t>(Emphasis supplied)</w:t>
      </w:r>
    </w:p>
    <w:p w:rsidR="008215AB" w:rsidRDefault="008215AB">
      <w:pPr>
        <w:pStyle w:val="BodyText"/>
        <w:spacing w:before="1"/>
        <w:rPr>
          <w:sz w:val="24"/>
        </w:rPr>
      </w:pPr>
    </w:p>
    <w:p w:rsidR="008215AB" w:rsidRDefault="006513FA">
      <w:pPr>
        <w:pStyle w:val="BodyText"/>
        <w:spacing w:line="480" w:lineRule="auto"/>
        <w:ind w:left="220" w:right="338"/>
        <w:jc w:val="both"/>
      </w:pPr>
      <w:r>
        <w:t>The agenda note dated 9 August 2018 was a recommendation which was prepared on the basis of the 2–100 per cent criterion contained in the Board Note dated 23 July 2018. Obviously in the light of that decision, a recommendation was made which was still to b</w:t>
      </w:r>
      <w:r>
        <w:t>e deliberated upon by the Board as a body. When the Board met on 10 August 2018, it correctly came to the conclusion that</w:t>
      </w:r>
      <w:r>
        <w:rPr>
          <w:spacing w:val="45"/>
        </w:rPr>
        <w:t xml:space="preserve"> </w:t>
      </w:r>
      <w:r>
        <w:t>the</w:t>
      </w:r>
    </w:p>
    <w:p w:rsidR="008215AB" w:rsidRDefault="008215AB">
      <w:pPr>
        <w:spacing w:line="480" w:lineRule="auto"/>
        <w:jc w:val="both"/>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4"/>
        <w:jc w:val="both"/>
      </w:pPr>
      <w:r>
        <w:t xml:space="preserve">lower and upper thresholds were not to be applied mechanically to disqualify bidders. This decision, as we have </w:t>
      </w:r>
      <w:r>
        <w:t>indicated earlier, was justified not only by the terms of the Board Note dated 23 July 2018 but was intrinsic to a fair exercise of power by the Board. The Board decided that it would call the bidders with the highest composite score to explain the reasona</w:t>
      </w:r>
      <w:r>
        <w:t>bleness of their bids. This was a fair opportunity which was granted to the bidders who had the highest composite score to justify the basis of their computation of projected households over the eight-contract years.</w:t>
      </w:r>
    </w:p>
    <w:p w:rsidR="008215AB" w:rsidRDefault="008215AB">
      <w:pPr>
        <w:pStyle w:val="BodyText"/>
        <w:spacing w:before="11"/>
        <w:rPr>
          <w:sz w:val="24"/>
        </w:rPr>
      </w:pPr>
    </w:p>
    <w:p w:rsidR="008215AB" w:rsidRDefault="006513FA">
      <w:pPr>
        <w:pStyle w:val="ListParagraph"/>
        <w:numPr>
          <w:ilvl w:val="0"/>
          <w:numId w:val="4"/>
        </w:numPr>
        <w:tabs>
          <w:tab w:val="left" w:pos="941"/>
        </w:tabs>
        <w:spacing w:line="480" w:lineRule="auto"/>
        <w:ind w:firstLine="0"/>
        <w:jc w:val="both"/>
        <w:rPr>
          <w:sz w:val="25"/>
        </w:rPr>
      </w:pPr>
      <w:r>
        <w:rPr>
          <w:sz w:val="25"/>
        </w:rPr>
        <w:t>There is no merit in the submission that there was a breach of the principles of natural justice in calling only the bidders with the highest composite score to explain the reasonableness of their bids. None of these bidders was being called upon to revise</w:t>
      </w:r>
      <w:r>
        <w:rPr>
          <w:sz w:val="25"/>
        </w:rPr>
        <w:t xml:space="preserve"> or improve their bids. In terms of the CGD Authorisation Regulations, the bidder with the highest composite score has to be declared as the successful bidder. If despite having the highest composite score, a bidder was being considered for rejection by th</w:t>
      </w:r>
      <w:r>
        <w:rPr>
          <w:sz w:val="25"/>
        </w:rPr>
        <w:t>e Board, it was that bidder who was justifiably called to explain the reasonableness of the bid. The other bidders had no locus to participate in the process. It is a settled principle of law that the rules of natural justice are attracted where a decision</w:t>
      </w:r>
      <w:r>
        <w:rPr>
          <w:sz w:val="25"/>
        </w:rPr>
        <w:t xml:space="preserve"> affects a right of a party against whom the decision has to be made. After the composite score of all bidders is calculated, the second highest bidder has no rights vis-à-vis the highest bidder or the Board unless the method of calculating the highest com</w:t>
      </w:r>
      <w:r>
        <w:rPr>
          <w:sz w:val="25"/>
        </w:rPr>
        <w:t>posite score itself is impugned. Calling upon the bidders with the highest composite score to explain the reasonableness of their bid did not alter the composite</w:t>
      </w:r>
      <w:r>
        <w:rPr>
          <w:spacing w:val="42"/>
          <w:sz w:val="25"/>
        </w:rPr>
        <w:t xml:space="preserve"> </w:t>
      </w:r>
      <w:r>
        <w:rPr>
          <w:sz w:val="25"/>
        </w:rPr>
        <w:t>score</w:t>
      </w:r>
      <w:r>
        <w:rPr>
          <w:spacing w:val="43"/>
          <w:sz w:val="25"/>
        </w:rPr>
        <w:t xml:space="preserve"> </w:t>
      </w:r>
      <w:r>
        <w:rPr>
          <w:sz w:val="25"/>
        </w:rPr>
        <w:t>of</w:t>
      </w:r>
      <w:r>
        <w:rPr>
          <w:spacing w:val="42"/>
          <w:sz w:val="25"/>
        </w:rPr>
        <w:t xml:space="preserve"> </w:t>
      </w:r>
      <w:r>
        <w:rPr>
          <w:sz w:val="25"/>
        </w:rPr>
        <w:t>the</w:t>
      </w:r>
      <w:r>
        <w:rPr>
          <w:spacing w:val="43"/>
          <w:sz w:val="25"/>
        </w:rPr>
        <w:t xml:space="preserve"> </w:t>
      </w:r>
      <w:r>
        <w:rPr>
          <w:sz w:val="25"/>
        </w:rPr>
        <w:t>H1</w:t>
      </w:r>
      <w:r>
        <w:rPr>
          <w:spacing w:val="41"/>
          <w:sz w:val="25"/>
        </w:rPr>
        <w:t xml:space="preserve"> </w:t>
      </w:r>
      <w:r>
        <w:rPr>
          <w:sz w:val="25"/>
        </w:rPr>
        <w:t>bidders</w:t>
      </w:r>
      <w:r>
        <w:rPr>
          <w:spacing w:val="42"/>
          <w:sz w:val="25"/>
        </w:rPr>
        <w:t xml:space="preserve"> </w:t>
      </w:r>
      <w:r>
        <w:rPr>
          <w:sz w:val="25"/>
        </w:rPr>
        <w:t>or</w:t>
      </w:r>
      <w:r>
        <w:rPr>
          <w:spacing w:val="47"/>
          <w:sz w:val="25"/>
        </w:rPr>
        <w:t xml:space="preserve"> </w:t>
      </w:r>
      <w:r>
        <w:rPr>
          <w:sz w:val="25"/>
        </w:rPr>
        <w:t>any</w:t>
      </w:r>
      <w:r>
        <w:rPr>
          <w:spacing w:val="40"/>
          <w:sz w:val="25"/>
        </w:rPr>
        <w:t xml:space="preserve"> </w:t>
      </w:r>
      <w:r>
        <w:rPr>
          <w:sz w:val="25"/>
        </w:rPr>
        <w:t>other</w:t>
      </w:r>
      <w:r>
        <w:rPr>
          <w:spacing w:val="42"/>
          <w:sz w:val="25"/>
        </w:rPr>
        <w:t xml:space="preserve"> </w:t>
      </w:r>
      <w:r>
        <w:rPr>
          <w:sz w:val="25"/>
        </w:rPr>
        <w:t>bidder</w:t>
      </w:r>
      <w:r>
        <w:rPr>
          <w:spacing w:val="43"/>
          <w:sz w:val="25"/>
        </w:rPr>
        <w:t xml:space="preserve"> </w:t>
      </w:r>
      <w:r>
        <w:rPr>
          <w:sz w:val="25"/>
        </w:rPr>
        <w:t>for</w:t>
      </w:r>
      <w:r>
        <w:rPr>
          <w:spacing w:val="43"/>
          <w:sz w:val="25"/>
        </w:rPr>
        <w:t xml:space="preserve"> </w:t>
      </w:r>
      <w:r>
        <w:rPr>
          <w:sz w:val="25"/>
        </w:rPr>
        <w:t>the</w:t>
      </w:r>
      <w:r>
        <w:rPr>
          <w:spacing w:val="42"/>
          <w:sz w:val="25"/>
        </w:rPr>
        <w:t xml:space="preserve"> </w:t>
      </w:r>
      <w:r>
        <w:rPr>
          <w:sz w:val="25"/>
        </w:rPr>
        <w:t>same</w:t>
      </w:r>
      <w:r>
        <w:rPr>
          <w:spacing w:val="43"/>
          <w:sz w:val="25"/>
        </w:rPr>
        <w:t xml:space="preserve"> </w:t>
      </w:r>
      <w:r>
        <w:rPr>
          <w:sz w:val="25"/>
        </w:rPr>
        <w:t>GA.</w:t>
      </w:r>
      <w:r>
        <w:rPr>
          <w:spacing w:val="41"/>
          <w:sz w:val="25"/>
        </w:rPr>
        <w:t xml:space="preserve"> </w:t>
      </w:r>
      <w:r>
        <w:rPr>
          <w:sz w:val="25"/>
        </w:rPr>
        <w:t>The</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3"/>
        <w:jc w:val="both"/>
      </w:pPr>
      <w:r>
        <w:t>question of</w:t>
      </w:r>
      <w:r>
        <w:t xml:space="preserve"> hearing any other bidder would have arisen only if the H1 bidder stood disqualified, and the bidder with the next highest composite score also breached the 2-100 per cent range, thereby warranting scrutiny from the Board. In the present situation, when th</w:t>
      </w:r>
      <w:r>
        <w:t>e Board decided to call the bidders with the highest composite score in order to allow them an opportunity to explain reasonableness of their bid, the administrative decision taken by the Board cannot be faulted as being in violation of the principles of n</w:t>
      </w:r>
      <w:r>
        <w:t>atural</w:t>
      </w:r>
      <w:r>
        <w:rPr>
          <w:spacing w:val="-16"/>
        </w:rPr>
        <w:t xml:space="preserve"> </w:t>
      </w:r>
      <w:r>
        <w:t>justice.</w:t>
      </w:r>
    </w:p>
    <w:p w:rsidR="008215AB" w:rsidRDefault="008215AB">
      <w:pPr>
        <w:pStyle w:val="BodyText"/>
        <w:spacing w:before="1"/>
      </w:pPr>
    </w:p>
    <w:p w:rsidR="008215AB" w:rsidRDefault="006513FA">
      <w:pPr>
        <w:pStyle w:val="ListParagraph"/>
        <w:numPr>
          <w:ilvl w:val="0"/>
          <w:numId w:val="4"/>
        </w:numPr>
        <w:tabs>
          <w:tab w:val="left" w:pos="1010"/>
        </w:tabs>
        <w:spacing w:line="480" w:lineRule="auto"/>
        <w:ind w:right="334" w:firstLine="0"/>
        <w:jc w:val="both"/>
        <w:rPr>
          <w:sz w:val="25"/>
        </w:rPr>
      </w:pPr>
      <w:r>
        <w:rPr>
          <w:sz w:val="25"/>
        </w:rPr>
        <w:t>At the 82</w:t>
      </w:r>
      <w:r>
        <w:rPr>
          <w:sz w:val="25"/>
          <w:vertAlign w:val="superscript"/>
        </w:rPr>
        <w:t>nd</w:t>
      </w:r>
      <w:r>
        <w:rPr>
          <w:sz w:val="25"/>
        </w:rPr>
        <w:t xml:space="preserve"> meeting of the Board, which was held on 29 August 2018, the reasonableness of the bids submitted for GAs 51, 61, 62 and 72 came up for consideration. In GA 62 (Chennai-Tiruvallur) Torrent Gas Private Limited, relied on the curr</w:t>
      </w:r>
      <w:r>
        <w:rPr>
          <w:sz w:val="25"/>
        </w:rPr>
        <w:t>ent LPG domestic connections (41,73,073) according to the statistics of the Tamil Nadu government. This was extrapolated until 2026 taking the growth rate at 5 per cent per annum. On this basis, Torrent Gas Private Limited as the H1 bidder justified before</w:t>
      </w:r>
      <w:r>
        <w:rPr>
          <w:sz w:val="25"/>
        </w:rPr>
        <w:t xml:space="preserve"> the Board its quoted figure of PNG connections of thirty-three lakhs. For GA 61 (Kanchipuram), AG &amp; P LNG explained that its computation was based</w:t>
      </w:r>
      <w:r>
        <w:rPr>
          <w:spacing w:val="-3"/>
          <w:sz w:val="25"/>
        </w:rPr>
        <w:t xml:space="preserve"> </w:t>
      </w:r>
      <w:r>
        <w:rPr>
          <w:sz w:val="25"/>
        </w:rPr>
        <w:t>on:</w:t>
      </w:r>
    </w:p>
    <w:p w:rsidR="008215AB" w:rsidRDefault="006513FA">
      <w:pPr>
        <w:pStyle w:val="ListParagraph"/>
        <w:numPr>
          <w:ilvl w:val="1"/>
          <w:numId w:val="4"/>
        </w:numPr>
        <w:tabs>
          <w:tab w:val="left" w:pos="1661"/>
        </w:tabs>
        <w:ind w:right="0" w:hanging="721"/>
        <w:jc w:val="both"/>
        <w:rPr>
          <w:sz w:val="25"/>
        </w:rPr>
      </w:pPr>
      <w:r>
        <w:rPr>
          <w:sz w:val="25"/>
        </w:rPr>
        <w:t>The urbanisation rates in the Kanchipuram</w:t>
      </w:r>
      <w:r>
        <w:rPr>
          <w:spacing w:val="1"/>
          <w:sz w:val="25"/>
        </w:rPr>
        <w:t xml:space="preserve"> </w:t>
      </w:r>
      <w:r>
        <w:rPr>
          <w:sz w:val="25"/>
        </w:rPr>
        <w:t>district;</w:t>
      </w:r>
    </w:p>
    <w:p w:rsidR="008215AB" w:rsidRDefault="008215AB">
      <w:pPr>
        <w:pStyle w:val="BodyText"/>
        <w:spacing w:before="11"/>
        <w:rPr>
          <w:sz w:val="24"/>
        </w:rPr>
      </w:pPr>
    </w:p>
    <w:p w:rsidR="008215AB" w:rsidRDefault="006513FA">
      <w:pPr>
        <w:pStyle w:val="ListParagraph"/>
        <w:numPr>
          <w:ilvl w:val="1"/>
          <w:numId w:val="4"/>
        </w:numPr>
        <w:tabs>
          <w:tab w:val="left" w:pos="1661"/>
        </w:tabs>
        <w:spacing w:line="480" w:lineRule="auto"/>
        <w:ind w:right="343"/>
        <w:jc w:val="both"/>
        <w:rPr>
          <w:sz w:val="25"/>
        </w:rPr>
      </w:pPr>
      <w:r>
        <w:rPr>
          <w:sz w:val="25"/>
        </w:rPr>
        <w:t>Extrapolations of the number of households based on</w:t>
      </w:r>
      <w:r>
        <w:rPr>
          <w:sz w:val="25"/>
        </w:rPr>
        <w:t xml:space="preserve"> historical growth</w:t>
      </w:r>
      <w:r>
        <w:rPr>
          <w:spacing w:val="-1"/>
          <w:sz w:val="25"/>
        </w:rPr>
        <w:t xml:space="preserve"> </w:t>
      </w:r>
      <w:r>
        <w:rPr>
          <w:sz w:val="25"/>
        </w:rPr>
        <w:t>rates;</w:t>
      </w:r>
    </w:p>
    <w:p w:rsidR="008215AB" w:rsidRDefault="006513FA">
      <w:pPr>
        <w:pStyle w:val="ListParagraph"/>
        <w:numPr>
          <w:ilvl w:val="1"/>
          <w:numId w:val="4"/>
        </w:numPr>
        <w:tabs>
          <w:tab w:val="left" w:pos="1661"/>
        </w:tabs>
        <w:spacing w:line="287" w:lineRule="exact"/>
        <w:ind w:right="0" w:hanging="721"/>
        <w:jc w:val="both"/>
        <w:rPr>
          <w:sz w:val="25"/>
        </w:rPr>
      </w:pPr>
      <w:r>
        <w:rPr>
          <w:sz w:val="25"/>
        </w:rPr>
        <w:t>The twin city status of Chennai and Kanchipuram;</w:t>
      </w:r>
      <w:r>
        <w:rPr>
          <w:spacing w:val="-9"/>
          <w:sz w:val="25"/>
        </w:rPr>
        <w:t xml:space="preserve"> </w:t>
      </w:r>
      <w:r>
        <w:rPr>
          <w:sz w:val="25"/>
        </w:rPr>
        <w:t>and</w:t>
      </w:r>
    </w:p>
    <w:p w:rsidR="008215AB" w:rsidRDefault="008215AB">
      <w:pPr>
        <w:pStyle w:val="BodyText"/>
        <w:spacing w:before="1"/>
      </w:pPr>
    </w:p>
    <w:p w:rsidR="008215AB" w:rsidRDefault="006513FA">
      <w:pPr>
        <w:pStyle w:val="ListParagraph"/>
        <w:numPr>
          <w:ilvl w:val="1"/>
          <w:numId w:val="4"/>
        </w:numPr>
        <w:tabs>
          <w:tab w:val="left" w:pos="1661"/>
        </w:tabs>
        <w:ind w:right="0" w:hanging="721"/>
        <w:jc w:val="both"/>
        <w:rPr>
          <w:sz w:val="25"/>
        </w:rPr>
      </w:pPr>
      <w:r>
        <w:rPr>
          <w:sz w:val="25"/>
        </w:rPr>
        <w:t xml:space="preserve">The </w:t>
      </w:r>
      <w:r>
        <w:rPr>
          <w:i/>
          <w:sz w:val="25"/>
        </w:rPr>
        <w:t xml:space="preserve">per </w:t>
      </w:r>
      <w:r>
        <w:rPr>
          <w:sz w:val="25"/>
        </w:rPr>
        <w:t>capita income growth in Kanchipuram</w:t>
      </w:r>
      <w:r>
        <w:rPr>
          <w:spacing w:val="-10"/>
          <w:sz w:val="25"/>
        </w:rPr>
        <w:t xml:space="preserve"> </w:t>
      </w:r>
      <w:r>
        <w:rPr>
          <w:sz w:val="25"/>
        </w:rPr>
        <w:t>district.</w:t>
      </w:r>
    </w:p>
    <w:p w:rsidR="008215AB" w:rsidRDefault="008215AB">
      <w:pPr>
        <w:pStyle w:val="BodyText"/>
        <w:rPr>
          <w:sz w:val="28"/>
        </w:rPr>
      </w:pPr>
    </w:p>
    <w:p w:rsidR="008215AB" w:rsidRDefault="008215AB">
      <w:pPr>
        <w:pStyle w:val="BodyText"/>
        <w:rPr>
          <w:sz w:val="28"/>
        </w:rPr>
      </w:pPr>
    </w:p>
    <w:p w:rsidR="008215AB" w:rsidRDefault="006513FA">
      <w:pPr>
        <w:pStyle w:val="BodyText"/>
        <w:spacing w:before="218" w:line="482" w:lineRule="auto"/>
        <w:ind w:left="220" w:right="341"/>
        <w:jc w:val="both"/>
      </w:pPr>
      <w:r>
        <w:t>On this basis, AG &amp;</w:t>
      </w:r>
      <w:r>
        <w:t xml:space="preserve"> P LNG justified its number for projected PNG connections. For GA-51 (Puducherry), SKN Haryana based its computation on the compound</w:t>
      </w:r>
    </w:p>
    <w:p w:rsidR="008215AB" w:rsidRDefault="008215AB">
      <w:pPr>
        <w:spacing w:line="482" w:lineRule="auto"/>
        <w:jc w:val="both"/>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5"/>
        <w:jc w:val="both"/>
      </w:pPr>
      <w:r>
        <w:t>yearly growth of households in the previous twenty years. Based on this growth rate, the bidder calculate</w:t>
      </w:r>
      <w:r>
        <w:t>d the projected households till 2026 and accordingly presented this computation to the Board when called upon.</w:t>
      </w:r>
    </w:p>
    <w:p w:rsidR="008215AB" w:rsidRDefault="008215AB">
      <w:pPr>
        <w:pStyle w:val="BodyText"/>
        <w:spacing w:before="10"/>
        <w:rPr>
          <w:sz w:val="24"/>
        </w:rPr>
      </w:pPr>
    </w:p>
    <w:p w:rsidR="008215AB" w:rsidRDefault="006513FA">
      <w:pPr>
        <w:pStyle w:val="ListParagraph"/>
        <w:numPr>
          <w:ilvl w:val="0"/>
          <w:numId w:val="4"/>
        </w:numPr>
        <w:tabs>
          <w:tab w:val="left" w:pos="941"/>
        </w:tabs>
        <w:spacing w:line="480" w:lineRule="auto"/>
        <w:ind w:right="333" w:firstLine="0"/>
        <w:jc w:val="both"/>
        <w:rPr>
          <w:sz w:val="25"/>
        </w:rPr>
      </w:pPr>
      <w:r>
        <w:rPr>
          <w:sz w:val="25"/>
        </w:rPr>
        <w:t xml:space="preserve">In its minutes dated 29 August 2018, the Board noted that the four </w:t>
      </w:r>
      <w:r>
        <w:rPr>
          <w:spacing w:val="2"/>
          <w:sz w:val="25"/>
        </w:rPr>
        <w:t xml:space="preserve">GAs: </w:t>
      </w:r>
      <w:r>
        <w:rPr>
          <w:sz w:val="25"/>
        </w:rPr>
        <w:t>51, 61, 62 and 72 were compared with the upper limit fixed by the agenda</w:t>
      </w:r>
      <w:r>
        <w:rPr>
          <w:sz w:val="25"/>
        </w:rPr>
        <w:t xml:space="preserve"> note dated 23 July 2018 and projected households in 2026. The penetration of PNG domestic connections based on the upper limit fixed by the Board with reference to the projected number of households in 2026 varied from 45 per cent to 59 per cent. However,</w:t>
      </w:r>
      <w:r>
        <w:rPr>
          <w:sz w:val="25"/>
        </w:rPr>
        <w:t xml:space="preserve"> the penetration of PNG domestic connections based on quoted PNG connections with reference to the projected number of households in 2026 varied from 55 per cent to 99 per cent. The variation between the two sets of numbers was between 7 per cent to 54 per</w:t>
      </w:r>
      <w:r>
        <w:rPr>
          <w:sz w:val="25"/>
        </w:rPr>
        <w:t xml:space="preserve"> cent. The Board noted that it was in GA 72 where the highest variation of 54 per cent took place. The bid submitted  by Torrent Gas Private Limited for GA 72 was consequently rejected. The Board observed that the computation for GA 72 by Torrent Gas Priva</w:t>
      </w:r>
      <w:r>
        <w:rPr>
          <w:sz w:val="25"/>
        </w:rPr>
        <w:t>te Limited was based on untenable assumptions as described in para 14.3 of the agenda note. According to these assumptions, the PNG domestic connections quoted by the Torrent Gas Private Limited was 99 per cent of the projected households by 2026 which was</w:t>
      </w:r>
      <w:r>
        <w:rPr>
          <w:sz w:val="25"/>
        </w:rPr>
        <w:t xml:space="preserve"> taken as an unreasonably high penetration figure. However, for the remaining three GAs, the variation was between 7 per cent to 23 per cent of the projected households in 2026, and PNG penetration would be in the range of 55 per cent to 79 per cent. This </w:t>
      </w:r>
      <w:r>
        <w:rPr>
          <w:sz w:val="25"/>
        </w:rPr>
        <w:t>exercise was carried out by the Board to enable it to consider the reasonableness of the bids. Torrent Gas Limited, whose bid was accepted for GA 62, was however not considered for acceptance for GA 72</w:t>
      </w:r>
      <w:r>
        <w:rPr>
          <w:spacing w:val="52"/>
          <w:sz w:val="25"/>
        </w:rPr>
        <w:t xml:space="preserve"> </w:t>
      </w:r>
      <w:r>
        <w:rPr>
          <w:sz w:val="25"/>
        </w:rPr>
        <w:t>since</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5"/>
        <w:jc w:val="both"/>
      </w:pPr>
      <w:r>
        <w:t xml:space="preserve">its computation of the number </w:t>
      </w:r>
      <w:r>
        <w:t>of projected households and penetration rate was deemed unreasonable. In our view, the Board has certainly given a possible basis for coming to the conclusion that the bids submitted by the bidders with the highest composite score for GAs 51, 61 and 62 wer</w:t>
      </w:r>
      <w:r>
        <w:t>e reasonable and ought not to be</w:t>
      </w:r>
      <w:r>
        <w:rPr>
          <w:spacing w:val="-1"/>
        </w:rPr>
        <w:t xml:space="preserve"> </w:t>
      </w:r>
      <w:r>
        <w:t>rejected.</w:t>
      </w:r>
    </w:p>
    <w:p w:rsidR="008215AB" w:rsidRDefault="008215AB">
      <w:pPr>
        <w:pStyle w:val="BodyText"/>
      </w:pPr>
    </w:p>
    <w:p w:rsidR="008215AB" w:rsidRDefault="006513FA">
      <w:pPr>
        <w:pStyle w:val="ListParagraph"/>
        <w:numPr>
          <w:ilvl w:val="0"/>
          <w:numId w:val="4"/>
        </w:numPr>
        <w:tabs>
          <w:tab w:val="left" w:pos="941"/>
        </w:tabs>
        <w:spacing w:before="1" w:line="480" w:lineRule="auto"/>
        <w:ind w:right="335" w:firstLine="0"/>
        <w:jc w:val="both"/>
        <w:rPr>
          <w:sz w:val="25"/>
        </w:rPr>
      </w:pPr>
      <w:r>
        <w:rPr>
          <w:sz w:val="25"/>
        </w:rPr>
        <w:t xml:space="preserve">The agenda note dated 9 August 2018 merely tabled discussion on the disputed GAs. The highest bidders for GAs 61 and 62 were heard by the Board on 14 August 2018. The highest bidder for GA 51 was heard by the Board on 23 August 2018. The final decision to </w:t>
      </w:r>
      <w:r>
        <w:rPr>
          <w:sz w:val="25"/>
        </w:rPr>
        <w:t xml:space="preserve">award authorisation in GAs 51, 61 and 62 to AG &amp; P LNG, Torrent Gas Private Limited and SKN Haryana (the highest bidders) respectively was finally taken by the Board in its meeting </w:t>
      </w:r>
      <w:r>
        <w:rPr>
          <w:spacing w:val="2"/>
          <w:sz w:val="25"/>
        </w:rPr>
        <w:t xml:space="preserve">on </w:t>
      </w:r>
      <w:r>
        <w:rPr>
          <w:sz w:val="25"/>
        </w:rPr>
        <w:t>29 August 2018. This decision was taken after hearing the bidders on whe</w:t>
      </w:r>
      <w:r>
        <w:rPr>
          <w:sz w:val="25"/>
        </w:rPr>
        <w:t>ther their bids were reasonable or not. The Board did not reject all other bidders or presumptively announce these entities as successful bidders before making a determination as to the reasonableness of their bids. In light of this chronology of events, a</w:t>
      </w:r>
      <w:r>
        <w:rPr>
          <w:sz w:val="25"/>
        </w:rPr>
        <w:t>t no point did the Board reverse its decision with respect to the GAs in question.</w:t>
      </w:r>
    </w:p>
    <w:p w:rsidR="008215AB" w:rsidRDefault="008215AB">
      <w:pPr>
        <w:pStyle w:val="BodyText"/>
      </w:pPr>
    </w:p>
    <w:p w:rsidR="008215AB" w:rsidRDefault="006513FA">
      <w:pPr>
        <w:pStyle w:val="ListParagraph"/>
        <w:numPr>
          <w:ilvl w:val="0"/>
          <w:numId w:val="4"/>
        </w:numPr>
        <w:tabs>
          <w:tab w:val="left" w:pos="941"/>
        </w:tabs>
        <w:spacing w:line="480" w:lineRule="auto"/>
        <w:ind w:right="334" w:firstLine="0"/>
        <w:jc w:val="both"/>
        <w:rPr>
          <w:sz w:val="25"/>
        </w:rPr>
      </w:pPr>
      <w:r>
        <w:rPr>
          <w:sz w:val="25"/>
        </w:rPr>
        <w:t xml:space="preserve">The appeals before APTEL pertained to GAs 51, 61 and 62. The present proceedings were not in the nature of a public interest litigation instituted under Article 226 of the </w:t>
      </w:r>
      <w:r>
        <w:rPr>
          <w:sz w:val="25"/>
        </w:rPr>
        <w:t>Constitution before a High Court challenging the entirety of the tendering process. Both before this Court and APTEL, it was contended that the Board had rejected bids in other GAs which were not-qualified on the ground that they</w:t>
      </w:r>
      <w:r>
        <w:rPr>
          <w:spacing w:val="60"/>
          <w:sz w:val="25"/>
        </w:rPr>
        <w:t xml:space="preserve"> </w:t>
      </w:r>
      <w:r>
        <w:rPr>
          <w:sz w:val="25"/>
        </w:rPr>
        <w:t>were</w:t>
      </w:r>
      <w:r>
        <w:rPr>
          <w:spacing w:val="62"/>
          <w:sz w:val="25"/>
        </w:rPr>
        <w:t xml:space="preserve"> </w:t>
      </w:r>
      <w:r>
        <w:rPr>
          <w:sz w:val="25"/>
        </w:rPr>
        <w:t>either</w:t>
      </w:r>
      <w:r>
        <w:rPr>
          <w:spacing w:val="61"/>
          <w:sz w:val="25"/>
        </w:rPr>
        <w:t xml:space="preserve"> </w:t>
      </w:r>
      <w:r>
        <w:rPr>
          <w:sz w:val="25"/>
        </w:rPr>
        <w:t>below</w:t>
      </w:r>
      <w:r>
        <w:rPr>
          <w:spacing w:val="61"/>
          <w:sz w:val="25"/>
        </w:rPr>
        <w:t xml:space="preserve"> </w:t>
      </w:r>
      <w:r>
        <w:rPr>
          <w:sz w:val="25"/>
        </w:rPr>
        <w:t>2</w:t>
      </w:r>
      <w:r>
        <w:rPr>
          <w:spacing w:val="61"/>
          <w:sz w:val="25"/>
        </w:rPr>
        <w:t xml:space="preserve"> </w:t>
      </w:r>
      <w:r>
        <w:rPr>
          <w:sz w:val="25"/>
        </w:rPr>
        <w:t>per</w:t>
      </w:r>
      <w:r>
        <w:rPr>
          <w:spacing w:val="62"/>
          <w:sz w:val="25"/>
        </w:rPr>
        <w:t xml:space="preserve"> </w:t>
      </w:r>
      <w:r>
        <w:rPr>
          <w:sz w:val="25"/>
        </w:rPr>
        <w:t>ce</w:t>
      </w:r>
      <w:r>
        <w:rPr>
          <w:sz w:val="25"/>
        </w:rPr>
        <w:t>nt</w:t>
      </w:r>
      <w:r>
        <w:rPr>
          <w:spacing w:val="62"/>
          <w:sz w:val="25"/>
        </w:rPr>
        <w:t xml:space="preserve"> </w:t>
      </w:r>
      <w:r>
        <w:rPr>
          <w:sz w:val="25"/>
        </w:rPr>
        <w:t>or</w:t>
      </w:r>
      <w:r>
        <w:rPr>
          <w:spacing w:val="61"/>
          <w:sz w:val="25"/>
        </w:rPr>
        <w:t xml:space="preserve"> </w:t>
      </w:r>
      <w:r>
        <w:rPr>
          <w:sz w:val="25"/>
        </w:rPr>
        <w:t>above</w:t>
      </w:r>
      <w:r>
        <w:rPr>
          <w:spacing w:val="62"/>
          <w:sz w:val="25"/>
        </w:rPr>
        <w:t xml:space="preserve"> </w:t>
      </w:r>
      <w:r>
        <w:rPr>
          <w:sz w:val="25"/>
        </w:rPr>
        <w:t>100</w:t>
      </w:r>
      <w:r>
        <w:rPr>
          <w:spacing w:val="61"/>
          <w:sz w:val="25"/>
        </w:rPr>
        <w:t xml:space="preserve"> </w:t>
      </w:r>
      <w:r>
        <w:rPr>
          <w:sz w:val="25"/>
        </w:rPr>
        <w:t>per</w:t>
      </w:r>
      <w:r>
        <w:rPr>
          <w:spacing w:val="64"/>
          <w:sz w:val="25"/>
        </w:rPr>
        <w:t xml:space="preserve"> </w:t>
      </w:r>
      <w:r>
        <w:rPr>
          <w:sz w:val="25"/>
        </w:rPr>
        <w:t>cent</w:t>
      </w:r>
      <w:r>
        <w:rPr>
          <w:spacing w:val="63"/>
          <w:sz w:val="25"/>
        </w:rPr>
        <w:t xml:space="preserve"> </w:t>
      </w:r>
      <w:r>
        <w:rPr>
          <w:sz w:val="25"/>
        </w:rPr>
        <w:t>of</w:t>
      </w:r>
      <w:r>
        <w:rPr>
          <w:spacing w:val="62"/>
          <w:sz w:val="25"/>
        </w:rPr>
        <w:t xml:space="preserve"> </w:t>
      </w:r>
      <w:r>
        <w:rPr>
          <w:sz w:val="25"/>
        </w:rPr>
        <w:t>the</w:t>
      </w:r>
      <w:r>
        <w:rPr>
          <w:spacing w:val="2"/>
          <w:sz w:val="25"/>
        </w:rPr>
        <w:t xml:space="preserve"> </w:t>
      </w:r>
      <w:r>
        <w:rPr>
          <w:sz w:val="25"/>
        </w:rPr>
        <w:t>number</w:t>
      </w:r>
      <w:r>
        <w:rPr>
          <w:spacing w:val="62"/>
          <w:sz w:val="25"/>
        </w:rPr>
        <w:t xml:space="preserve"> </w:t>
      </w:r>
      <w:r>
        <w:rPr>
          <w:sz w:val="25"/>
        </w:rPr>
        <w:t>of</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40"/>
        <w:jc w:val="both"/>
      </w:pPr>
      <w:r>
        <w:t>households as per the 2011 Census figures. The Member Technical (Petroleum and Natural Gas) at APTEL examined the submission in paragraph 60 of the decision and held:</w:t>
      </w:r>
    </w:p>
    <w:p w:rsidR="008215AB" w:rsidRDefault="006513FA">
      <w:pPr>
        <w:spacing w:line="276" w:lineRule="auto"/>
        <w:ind w:left="1660" w:right="2161"/>
        <w:jc w:val="both"/>
        <w:rPr>
          <w:sz w:val="21"/>
        </w:rPr>
      </w:pPr>
      <w:r>
        <w:rPr>
          <w:spacing w:val="-1"/>
          <w:w w:val="33"/>
          <w:sz w:val="21"/>
        </w:rPr>
        <w:t>―</w:t>
      </w:r>
      <w:r>
        <w:rPr>
          <w:spacing w:val="-1"/>
          <w:sz w:val="21"/>
        </w:rPr>
        <w:t>60</w:t>
      </w:r>
      <w:r>
        <w:rPr>
          <w:sz w:val="21"/>
        </w:rPr>
        <w:t>.</w:t>
      </w:r>
      <w:r>
        <w:rPr>
          <w:spacing w:val="7"/>
          <w:sz w:val="21"/>
        </w:rPr>
        <w:t xml:space="preserve"> </w:t>
      </w:r>
      <w:r>
        <w:rPr>
          <w:sz w:val="21"/>
        </w:rPr>
        <w:t>Th</w:t>
      </w:r>
      <w:r>
        <w:rPr>
          <w:spacing w:val="-3"/>
          <w:sz w:val="21"/>
        </w:rPr>
        <w:t>o</w:t>
      </w:r>
      <w:r>
        <w:rPr>
          <w:spacing w:val="-1"/>
          <w:sz w:val="21"/>
        </w:rPr>
        <w:t>ug</w:t>
      </w:r>
      <w:r>
        <w:rPr>
          <w:sz w:val="21"/>
        </w:rPr>
        <w:t>h</w:t>
      </w:r>
      <w:r>
        <w:rPr>
          <w:spacing w:val="9"/>
          <w:sz w:val="21"/>
        </w:rPr>
        <w:t xml:space="preserve"> </w:t>
      </w:r>
      <w:r>
        <w:rPr>
          <w:spacing w:val="-2"/>
          <w:sz w:val="21"/>
        </w:rPr>
        <w:t>t</w:t>
      </w:r>
      <w:r>
        <w:rPr>
          <w:spacing w:val="-3"/>
          <w:sz w:val="21"/>
        </w:rPr>
        <w:t>h</w:t>
      </w:r>
      <w:r>
        <w:rPr>
          <w:sz w:val="21"/>
        </w:rPr>
        <w:t>e</w:t>
      </w:r>
      <w:r>
        <w:rPr>
          <w:spacing w:val="8"/>
          <w:sz w:val="21"/>
        </w:rPr>
        <w:t xml:space="preserve"> </w:t>
      </w:r>
      <w:r>
        <w:rPr>
          <w:spacing w:val="-1"/>
          <w:sz w:val="21"/>
        </w:rPr>
        <w:t>a</w:t>
      </w:r>
      <w:r>
        <w:rPr>
          <w:spacing w:val="-3"/>
          <w:sz w:val="21"/>
        </w:rPr>
        <w:t>p</w:t>
      </w:r>
      <w:r>
        <w:rPr>
          <w:spacing w:val="-1"/>
          <w:sz w:val="21"/>
        </w:rPr>
        <w:t>pe</w:t>
      </w:r>
      <w:r>
        <w:rPr>
          <w:spacing w:val="-2"/>
          <w:sz w:val="21"/>
        </w:rPr>
        <w:t>a</w:t>
      </w:r>
      <w:r>
        <w:rPr>
          <w:sz w:val="21"/>
        </w:rPr>
        <w:t>l</w:t>
      </w:r>
      <w:r>
        <w:rPr>
          <w:spacing w:val="9"/>
          <w:sz w:val="21"/>
        </w:rPr>
        <w:t xml:space="preserve"> </w:t>
      </w:r>
      <w:r>
        <w:rPr>
          <w:spacing w:val="-3"/>
          <w:sz w:val="21"/>
        </w:rPr>
        <w:t>p</w:t>
      </w:r>
      <w:r>
        <w:rPr>
          <w:spacing w:val="-1"/>
          <w:sz w:val="21"/>
        </w:rPr>
        <w:t>er</w:t>
      </w:r>
      <w:r>
        <w:rPr>
          <w:spacing w:val="-2"/>
          <w:sz w:val="21"/>
        </w:rPr>
        <w:t>t</w:t>
      </w:r>
      <w:r>
        <w:rPr>
          <w:spacing w:val="-1"/>
          <w:sz w:val="21"/>
        </w:rPr>
        <w:t>a</w:t>
      </w:r>
      <w:r>
        <w:rPr>
          <w:spacing w:val="1"/>
          <w:sz w:val="21"/>
        </w:rPr>
        <w:t>i</w:t>
      </w:r>
      <w:r>
        <w:rPr>
          <w:spacing w:val="-1"/>
          <w:sz w:val="21"/>
        </w:rPr>
        <w:t>n</w:t>
      </w:r>
      <w:r>
        <w:rPr>
          <w:sz w:val="21"/>
        </w:rPr>
        <w:t>s</w:t>
      </w:r>
      <w:r>
        <w:rPr>
          <w:spacing w:val="8"/>
          <w:sz w:val="21"/>
        </w:rPr>
        <w:t xml:space="preserve"> </w:t>
      </w:r>
      <w:r>
        <w:rPr>
          <w:spacing w:val="-2"/>
          <w:sz w:val="21"/>
        </w:rPr>
        <w:t>t</w:t>
      </w:r>
      <w:r>
        <w:rPr>
          <w:sz w:val="21"/>
        </w:rPr>
        <w:t>o</w:t>
      </w:r>
      <w:r>
        <w:rPr>
          <w:spacing w:val="6"/>
          <w:sz w:val="21"/>
        </w:rPr>
        <w:t xml:space="preserve"> </w:t>
      </w:r>
      <w:r>
        <w:rPr>
          <w:spacing w:val="-1"/>
          <w:sz w:val="21"/>
        </w:rPr>
        <w:t>o</w:t>
      </w:r>
      <w:r>
        <w:rPr>
          <w:spacing w:val="-3"/>
          <w:sz w:val="21"/>
        </w:rPr>
        <w:t>n</w:t>
      </w:r>
      <w:r>
        <w:rPr>
          <w:sz w:val="21"/>
        </w:rPr>
        <w:t>ly</w:t>
      </w:r>
      <w:r>
        <w:rPr>
          <w:spacing w:val="6"/>
          <w:sz w:val="21"/>
        </w:rPr>
        <w:t xml:space="preserve"> </w:t>
      </w:r>
      <w:r>
        <w:rPr>
          <w:spacing w:val="-2"/>
          <w:sz w:val="21"/>
        </w:rPr>
        <w:t>G</w:t>
      </w:r>
      <w:r>
        <w:rPr>
          <w:sz w:val="21"/>
        </w:rPr>
        <w:t>As,</w:t>
      </w:r>
      <w:r>
        <w:rPr>
          <w:spacing w:val="7"/>
          <w:sz w:val="21"/>
        </w:rPr>
        <w:t xml:space="preserve"> </w:t>
      </w:r>
      <w:r>
        <w:rPr>
          <w:spacing w:val="-1"/>
          <w:sz w:val="21"/>
        </w:rPr>
        <w:t>51,6</w:t>
      </w:r>
      <w:r>
        <w:rPr>
          <w:sz w:val="21"/>
        </w:rPr>
        <w:t>1</w:t>
      </w:r>
      <w:r>
        <w:rPr>
          <w:spacing w:val="6"/>
          <w:sz w:val="21"/>
        </w:rPr>
        <w:t xml:space="preserve"> </w:t>
      </w:r>
      <w:r>
        <w:rPr>
          <w:sz w:val="21"/>
        </w:rPr>
        <w:t>&amp;</w:t>
      </w:r>
      <w:r>
        <w:rPr>
          <w:spacing w:val="9"/>
          <w:sz w:val="21"/>
        </w:rPr>
        <w:t xml:space="preserve"> </w:t>
      </w:r>
      <w:r>
        <w:rPr>
          <w:spacing w:val="-1"/>
          <w:sz w:val="21"/>
        </w:rPr>
        <w:t>62</w:t>
      </w:r>
      <w:r>
        <w:rPr>
          <w:sz w:val="21"/>
        </w:rPr>
        <w:t>,</w:t>
      </w:r>
      <w:r>
        <w:rPr>
          <w:spacing w:val="7"/>
          <w:sz w:val="21"/>
        </w:rPr>
        <w:t xml:space="preserve"> </w:t>
      </w:r>
      <w:r>
        <w:rPr>
          <w:spacing w:val="-2"/>
          <w:sz w:val="21"/>
        </w:rPr>
        <w:t>t</w:t>
      </w:r>
      <w:r>
        <w:rPr>
          <w:spacing w:val="-3"/>
          <w:sz w:val="21"/>
        </w:rPr>
        <w:t>h</w:t>
      </w:r>
      <w:r>
        <w:rPr>
          <w:sz w:val="21"/>
        </w:rPr>
        <w:t xml:space="preserve">e </w:t>
      </w:r>
      <w:r>
        <w:rPr>
          <w:sz w:val="21"/>
        </w:rPr>
        <w:t>Appellant also submits that the Board rejected 37 numbers of bids which were not qualified because their bids were below 2% and higher than 100% of 2011 census figures as per the Board‘s Press Release dated 10.08.2018 upload</w:t>
      </w:r>
      <w:r>
        <w:rPr>
          <w:sz w:val="21"/>
        </w:rPr>
        <w:t>ed in its website. Though, the instant appeal also strictly pertains to only highness of PNG domestic connections, still for the sake of completeness, let me understand the status of these bids. On clarification, the Board has stated that there were only 9</w:t>
      </w:r>
      <w:r>
        <w:rPr>
          <w:sz w:val="21"/>
        </w:rPr>
        <w:t xml:space="preserve"> bids with H-1 bidders quoting below 2% and above 100% limits of 2011 census. These 9 bids were accordingly highlighted to the Board, and final decisions were taken on these 9 bids by the Board after proper application of mind, hearing the parties and taki</w:t>
      </w:r>
      <w:r>
        <w:rPr>
          <w:sz w:val="21"/>
        </w:rPr>
        <w:t>ng an objective decision. Out of 9 bids, 4 bids having lower than 2% connections were accepted after raising their bids through discussions with the bidders, otherwise, these GAs would have gone dry. In GA-37, IOC‘s bid was rejected because of lower than 2</w:t>
      </w:r>
      <w:r>
        <w:rPr>
          <w:sz w:val="21"/>
        </w:rPr>
        <w:t>% quote, but this decision of the Board has not been challenged by IOC. Out of the remaining 4 GAs where H-1 bidders quoted more than 100% of PNG connections of 2011 census household numbers for 3 GAs (51, 61 &amp; 62), H-1 bidders were declared successful bid</w:t>
      </w:r>
      <w:r>
        <w:rPr>
          <w:sz w:val="21"/>
        </w:rPr>
        <w:t>ders after hearing them on their reasonableness of quotes. For the 4th GA (GA No. 72), the bid of the H-1 bidder who is the R-2 in the instant case was rejected having found its bid unreasonable and the GA was awarded to the next highest bidder and the H-1</w:t>
      </w:r>
      <w:r>
        <w:rPr>
          <w:sz w:val="21"/>
        </w:rPr>
        <w:t xml:space="preserve"> bidder has  not challenged this</w:t>
      </w:r>
      <w:r>
        <w:rPr>
          <w:spacing w:val="-6"/>
          <w:sz w:val="21"/>
        </w:rPr>
        <w:t xml:space="preserve"> </w:t>
      </w:r>
      <w:r>
        <w:rPr>
          <w:sz w:val="21"/>
        </w:rPr>
        <w:t>decision.‖</w:t>
      </w:r>
    </w:p>
    <w:p w:rsidR="008215AB" w:rsidRDefault="008215AB">
      <w:pPr>
        <w:pStyle w:val="BodyText"/>
        <w:rPr>
          <w:sz w:val="24"/>
        </w:rPr>
      </w:pPr>
    </w:p>
    <w:p w:rsidR="008215AB" w:rsidRDefault="008215AB">
      <w:pPr>
        <w:pStyle w:val="BodyText"/>
        <w:spacing w:before="3"/>
      </w:pPr>
    </w:p>
    <w:p w:rsidR="008215AB" w:rsidRDefault="006513FA">
      <w:pPr>
        <w:pStyle w:val="BodyText"/>
        <w:spacing w:line="480" w:lineRule="auto"/>
        <w:ind w:left="220" w:right="343"/>
        <w:jc w:val="both"/>
      </w:pPr>
      <w:r>
        <w:t>This clarification by the Board as well as the findings which have been recorded by the Member Technical (Petroleum and Natural Gas) commends itself for acceptance.</w:t>
      </w:r>
    </w:p>
    <w:p w:rsidR="008215AB" w:rsidRDefault="008215AB">
      <w:pPr>
        <w:pStyle w:val="BodyText"/>
        <w:spacing w:before="10"/>
        <w:rPr>
          <w:sz w:val="24"/>
        </w:rPr>
      </w:pPr>
    </w:p>
    <w:p w:rsidR="008215AB" w:rsidRDefault="006513FA">
      <w:pPr>
        <w:pStyle w:val="ListParagraph"/>
        <w:numPr>
          <w:ilvl w:val="0"/>
          <w:numId w:val="4"/>
        </w:numPr>
        <w:tabs>
          <w:tab w:val="left" w:pos="941"/>
        </w:tabs>
        <w:spacing w:line="480" w:lineRule="auto"/>
        <w:ind w:firstLine="0"/>
        <w:jc w:val="both"/>
        <w:rPr>
          <w:sz w:val="25"/>
        </w:rPr>
      </w:pPr>
      <w:r>
        <w:rPr>
          <w:sz w:val="25"/>
        </w:rPr>
        <w:t>In addition to their submissions with respec</w:t>
      </w:r>
      <w:r>
        <w:rPr>
          <w:sz w:val="25"/>
        </w:rPr>
        <w:t>t to the binding nature of the 2 – 100</w:t>
      </w:r>
      <w:r>
        <w:rPr>
          <w:spacing w:val="12"/>
          <w:sz w:val="25"/>
        </w:rPr>
        <w:t xml:space="preserve"> </w:t>
      </w:r>
      <w:r>
        <w:rPr>
          <w:sz w:val="25"/>
        </w:rPr>
        <w:t>per</w:t>
      </w:r>
      <w:r>
        <w:rPr>
          <w:spacing w:val="14"/>
          <w:sz w:val="25"/>
        </w:rPr>
        <w:t xml:space="preserve"> </w:t>
      </w:r>
      <w:r>
        <w:rPr>
          <w:sz w:val="25"/>
        </w:rPr>
        <w:t>cent</w:t>
      </w:r>
      <w:r>
        <w:rPr>
          <w:spacing w:val="12"/>
          <w:sz w:val="25"/>
        </w:rPr>
        <w:t xml:space="preserve"> </w:t>
      </w:r>
      <w:r>
        <w:rPr>
          <w:sz w:val="25"/>
        </w:rPr>
        <w:t>range</w:t>
      </w:r>
      <w:r>
        <w:rPr>
          <w:spacing w:val="13"/>
          <w:sz w:val="25"/>
        </w:rPr>
        <w:t xml:space="preserve"> </w:t>
      </w:r>
      <w:r>
        <w:rPr>
          <w:sz w:val="25"/>
        </w:rPr>
        <w:t>set</w:t>
      </w:r>
      <w:r>
        <w:rPr>
          <w:spacing w:val="12"/>
          <w:sz w:val="25"/>
        </w:rPr>
        <w:t xml:space="preserve"> </w:t>
      </w:r>
      <w:r>
        <w:rPr>
          <w:sz w:val="25"/>
        </w:rPr>
        <w:t>out</w:t>
      </w:r>
      <w:r>
        <w:rPr>
          <w:spacing w:val="13"/>
          <w:sz w:val="25"/>
        </w:rPr>
        <w:t xml:space="preserve"> </w:t>
      </w:r>
      <w:r>
        <w:rPr>
          <w:sz w:val="25"/>
        </w:rPr>
        <w:t>in</w:t>
      </w:r>
      <w:r>
        <w:rPr>
          <w:spacing w:val="12"/>
          <w:sz w:val="25"/>
        </w:rPr>
        <w:t xml:space="preserve"> </w:t>
      </w:r>
      <w:r>
        <w:rPr>
          <w:sz w:val="25"/>
        </w:rPr>
        <w:t>the</w:t>
      </w:r>
      <w:r>
        <w:rPr>
          <w:spacing w:val="14"/>
          <w:sz w:val="25"/>
        </w:rPr>
        <w:t xml:space="preserve"> </w:t>
      </w:r>
      <w:r>
        <w:rPr>
          <w:sz w:val="25"/>
        </w:rPr>
        <w:t>Board</w:t>
      </w:r>
      <w:r>
        <w:rPr>
          <w:spacing w:val="16"/>
          <w:sz w:val="25"/>
        </w:rPr>
        <w:t xml:space="preserve"> </w:t>
      </w:r>
      <w:r>
        <w:rPr>
          <w:sz w:val="25"/>
        </w:rPr>
        <w:t>Note</w:t>
      </w:r>
      <w:r>
        <w:rPr>
          <w:spacing w:val="14"/>
          <w:sz w:val="25"/>
        </w:rPr>
        <w:t xml:space="preserve"> </w:t>
      </w:r>
      <w:r>
        <w:rPr>
          <w:sz w:val="25"/>
        </w:rPr>
        <w:t>dated</w:t>
      </w:r>
      <w:r>
        <w:rPr>
          <w:spacing w:val="13"/>
          <w:sz w:val="25"/>
        </w:rPr>
        <w:t xml:space="preserve"> </w:t>
      </w:r>
      <w:r>
        <w:rPr>
          <w:sz w:val="25"/>
        </w:rPr>
        <w:t>23</w:t>
      </w:r>
      <w:r>
        <w:rPr>
          <w:spacing w:val="13"/>
          <w:sz w:val="25"/>
        </w:rPr>
        <w:t xml:space="preserve"> </w:t>
      </w:r>
      <w:r>
        <w:rPr>
          <w:sz w:val="25"/>
        </w:rPr>
        <w:t>July</w:t>
      </w:r>
      <w:r>
        <w:rPr>
          <w:spacing w:val="10"/>
          <w:sz w:val="25"/>
        </w:rPr>
        <w:t xml:space="preserve"> </w:t>
      </w:r>
      <w:r>
        <w:rPr>
          <w:sz w:val="25"/>
        </w:rPr>
        <w:t>2018,</w:t>
      </w:r>
      <w:r>
        <w:rPr>
          <w:spacing w:val="13"/>
          <w:sz w:val="25"/>
        </w:rPr>
        <w:t xml:space="preserve"> </w:t>
      </w:r>
      <w:r>
        <w:rPr>
          <w:sz w:val="25"/>
        </w:rPr>
        <w:t>the</w:t>
      </w:r>
      <w:r>
        <w:rPr>
          <w:spacing w:val="13"/>
          <w:sz w:val="25"/>
        </w:rPr>
        <w:t xml:space="preserve"> </w:t>
      </w:r>
      <w:r>
        <w:rPr>
          <w:sz w:val="25"/>
        </w:rPr>
        <w:t>appellants</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118" w:line="480" w:lineRule="auto"/>
        <w:ind w:left="220" w:right="334"/>
        <w:jc w:val="both"/>
      </w:pPr>
      <w:r>
        <w:t>also argued that the Compounded Annual Growth Rate</w:t>
      </w:r>
      <w:r>
        <w:rPr>
          <w:vertAlign w:val="superscript"/>
        </w:rPr>
        <w:t>17</w:t>
      </w:r>
      <w:r>
        <w:t xml:space="preserve"> considered by the Board for the period between 2001 and 2011 was higher than the actual annual growth rate, leading the Board to project a higher number of households for 2026 than may actually exist. It was alleged that the Board used the figure of 23,33</w:t>
      </w:r>
      <w:r>
        <w:t xml:space="preserve">,500 as the number of households existing in 2011 instead of 21,01,931 in calculating the growth rate, resulting in an inflated growth rate. This high growth rate, according to the appellants, led the Board to accept the submissions made by </w:t>
      </w:r>
      <w:r>
        <w:rPr>
          <w:w w:val="99"/>
        </w:rPr>
        <w:t>To</w:t>
      </w:r>
      <w:r>
        <w:rPr>
          <w:spacing w:val="1"/>
          <w:w w:val="99"/>
        </w:rPr>
        <w:t>r</w:t>
      </w:r>
      <w:r>
        <w:rPr>
          <w:w w:val="99"/>
        </w:rPr>
        <w:t>rent</w:t>
      </w:r>
      <w:r>
        <w:t xml:space="preserve"> </w:t>
      </w:r>
      <w:r>
        <w:rPr>
          <w:spacing w:val="-18"/>
        </w:rPr>
        <w:t xml:space="preserve"> </w:t>
      </w:r>
      <w:r>
        <w:rPr>
          <w:w w:val="99"/>
        </w:rPr>
        <w:t>Gas</w:t>
      </w:r>
      <w:r>
        <w:t xml:space="preserve"> </w:t>
      </w:r>
      <w:r>
        <w:rPr>
          <w:spacing w:val="-19"/>
        </w:rPr>
        <w:t xml:space="preserve"> </w:t>
      </w:r>
      <w:r>
        <w:rPr>
          <w:spacing w:val="-1"/>
          <w:w w:val="99"/>
        </w:rPr>
        <w:t>P</w:t>
      </w:r>
      <w:r>
        <w:rPr>
          <w:w w:val="99"/>
        </w:rPr>
        <w:t>ri</w:t>
      </w:r>
      <w:r>
        <w:rPr>
          <w:spacing w:val="-3"/>
          <w:w w:val="99"/>
        </w:rPr>
        <w:t>v</w:t>
      </w:r>
      <w:r>
        <w:rPr>
          <w:w w:val="99"/>
        </w:rPr>
        <w:t>ate</w:t>
      </w:r>
      <w:r>
        <w:t xml:space="preserve"> </w:t>
      </w:r>
      <w:r>
        <w:rPr>
          <w:spacing w:val="-17"/>
        </w:rPr>
        <w:t xml:space="preserve"> </w:t>
      </w:r>
      <w:r>
        <w:rPr>
          <w:w w:val="99"/>
        </w:rPr>
        <w:t>Limited</w:t>
      </w:r>
      <w:r>
        <w:t xml:space="preserve"> </w:t>
      </w:r>
      <w:r>
        <w:rPr>
          <w:spacing w:val="-17"/>
        </w:rPr>
        <w:t xml:space="preserve"> </w:t>
      </w:r>
      <w:r>
        <w:rPr>
          <w:spacing w:val="-1"/>
          <w:w w:val="99"/>
        </w:rPr>
        <w:t>i</w:t>
      </w:r>
      <w:r>
        <w:rPr>
          <w:w w:val="99"/>
        </w:rPr>
        <w:t>n</w:t>
      </w:r>
      <w:r>
        <w:t xml:space="preserve"> </w:t>
      </w:r>
      <w:r>
        <w:rPr>
          <w:spacing w:val="-19"/>
        </w:rPr>
        <w:t xml:space="preserve"> </w:t>
      </w:r>
      <w:r>
        <w:rPr>
          <w:spacing w:val="-1"/>
          <w:w w:val="99"/>
        </w:rPr>
        <w:t>justi</w:t>
      </w:r>
      <w:r>
        <w:rPr>
          <w:spacing w:val="2"/>
          <w:w w:val="99"/>
        </w:rPr>
        <w:t>f</w:t>
      </w:r>
      <w:r>
        <w:rPr>
          <w:spacing w:val="-3"/>
          <w:w w:val="99"/>
        </w:rPr>
        <w:t>y</w:t>
      </w:r>
      <w:r>
        <w:rPr>
          <w:spacing w:val="-1"/>
          <w:w w:val="99"/>
        </w:rPr>
        <w:t>in</w:t>
      </w:r>
      <w:r>
        <w:rPr>
          <w:w w:val="99"/>
        </w:rPr>
        <w:t>g</w:t>
      </w:r>
      <w:r>
        <w:t xml:space="preserve"> </w:t>
      </w:r>
      <w:r>
        <w:rPr>
          <w:spacing w:val="-17"/>
        </w:rPr>
        <w:t xml:space="preserve"> </w:t>
      </w:r>
      <w:r>
        <w:rPr>
          <w:spacing w:val="-1"/>
          <w:w w:val="99"/>
        </w:rPr>
        <w:t>a</w:t>
      </w:r>
      <w:r>
        <w:rPr>
          <w:w w:val="99"/>
        </w:rPr>
        <w:t>n</w:t>
      </w:r>
      <w:r>
        <w:t xml:space="preserve"> </w:t>
      </w:r>
      <w:r>
        <w:rPr>
          <w:spacing w:val="-19"/>
        </w:rPr>
        <w:t xml:space="preserve"> </w:t>
      </w:r>
      <w:r>
        <w:rPr>
          <w:w w:val="33"/>
        </w:rPr>
        <w:t>―</w:t>
      </w:r>
      <w:r>
        <w:rPr>
          <w:spacing w:val="-1"/>
          <w:w w:val="99"/>
        </w:rPr>
        <w:t>u</w:t>
      </w:r>
      <w:r>
        <w:rPr>
          <w:w w:val="99"/>
        </w:rPr>
        <w:t>nr</w:t>
      </w:r>
      <w:r>
        <w:rPr>
          <w:spacing w:val="-1"/>
          <w:w w:val="99"/>
        </w:rPr>
        <w:t>e</w:t>
      </w:r>
      <w:r>
        <w:rPr>
          <w:w w:val="99"/>
        </w:rPr>
        <w:t>ason</w:t>
      </w:r>
      <w:r>
        <w:rPr>
          <w:spacing w:val="-1"/>
          <w:w w:val="99"/>
        </w:rPr>
        <w:t>a</w:t>
      </w:r>
      <w:r>
        <w:rPr>
          <w:w w:val="99"/>
        </w:rPr>
        <w:t>b</w:t>
      </w:r>
      <w:r>
        <w:rPr>
          <w:spacing w:val="-1"/>
          <w:w w:val="99"/>
        </w:rPr>
        <w:t>l</w:t>
      </w:r>
      <w:r>
        <w:rPr>
          <w:w w:val="99"/>
        </w:rPr>
        <w:t>y</w:t>
      </w:r>
      <w:r>
        <w:t xml:space="preserve"> </w:t>
      </w:r>
      <w:r>
        <w:rPr>
          <w:spacing w:val="-22"/>
        </w:rPr>
        <w:t xml:space="preserve"> </w:t>
      </w:r>
      <w:r>
        <w:rPr>
          <w:spacing w:val="-1"/>
          <w:w w:val="99"/>
        </w:rPr>
        <w:t>hi</w:t>
      </w:r>
      <w:r>
        <w:rPr>
          <w:spacing w:val="2"/>
          <w:w w:val="99"/>
        </w:rPr>
        <w:t>g</w:t>
      </w:r>
      <w:r>
        <w:rPr>
          <w:spacing w:val="-1"/>
          <w:w w:val="91"/>
        </w:rPr>
        <w:t>h</w:t>
      </w:r>
      <w:r>
        <w:rPr>
          <w:w w:val="91"/>
        </w:rPr>
        <w:t>‖</w:t>
      </w:r>
      <w:r>
        <w:t xml:space="preserve"> </w:t>
      </w:r>
      <w:r>
        <w:rPr>
          <w:spacing w:val="-19"/>
        </w:rPr>
        <w:t xml:space="preserve"> </w:t>
      </w:r>
      <w:r>
        <w:rPr>
          <w:spacing w:val="-1"/>
          <w:w w:val="99"/>
        </w:rPr>
        <w:t>q</w:t>
      </w:r>
      <w:r>
        <w:rPr>
          <w:w w:val="99"/>
        </w:rPr>
        <w:t>u</w:t>
      </w:r>
      <w:r>
        <w:rPr>
          <w:spacing w:val="-1"/>
          <w:w w:val="99"/>
        </w:rPr>
        <w:t>ot</w:t>
      </w:r>
      <w:r>
        <w:rPr>
          <w:w w:val="99"/>
        </w:rPr>
        <w:t>e</w:t>
      </w:r>
      <w:r>
        <w:t xml:space="preserve"> </w:t>
      </w:r>
      <w:r>
        <w:rPr>
          <w:spacing w:val="-19"/>
        </w:rPr>
        <w:t xml:space="preserve"> </w:t>
      </w:r>
      <w:r>
        <w:rPr>
          <w:w w:val="99"/>
        </w:rPr>
        <w:t>for</w:t>
      </w:r>
      <w:r>
        <w:t xml:space="preserve"> </w:t>
      </w:r>
      <w:r>
        <w:rPr>
          <w:spacing w:val="-18"/>
        </w:rPr>
        <w:t xml:space="preserve"> </w:t>
      </w:r>
      <w:r>
        <w:rPr>
          <w:w w:val="99"/>
        </w:rPr>
        <w:t xml:space="preserve">the </w:t>
      </w:r>
      <w:r>
        <w:t>number of households for the year</w:t>
      </w:r>
      <w:r>
        <w:rPr>
          <w:spacing w:val="-4"/>
        </w:rPr>
        <w:t xml:space="preserve"> </w:t>
      </w:r>
      <w:r>
        <w:t>2026.</w:t>
      </w:r>
    </w:p>
    <w:p w:rsidR="008215AB" w:rsidRDefault="008215AB">
      <w:pPr>
        <w:pStyle w:val="BodyText"/>
      </w:pPr>
    </w:p>
    <w:p w:rsidR="008215AB" w:rsidRDefault="006513FA">
      <w:pPr>
        <w:pStyle w:val="ListParagraph"/>
        <w:numPr>
          <w:ilvl w:val="0"/>
          <w:numId w:val="4"/>
        </w:numPr>
        <w:tabs>
          <w:tab w:val="left" w:pos="941"/>
        </w:tabs>
        <w:spacing w:before="1" w:line="480" w:lineRule="auto"/>
        <w:ind w:right="334" w:firstLine="0"/>
        <w:jc w:val="both"/>
        <w:rPr>
          <w:sz w:val="25"/>
        </w:rPr>
      </w:pPr>
      <w:r>
        <w:rPr>
          <w:sz w:val="25"/>
        </w:rPr>
        <w:t>In his judgement, the Member Technical noted that the appellant had in fact calculated the CAGR using overall population growth instead of using household growth. Evidently, for the purpose of projecting the number of PNG connections within a GA, it is the</w:t>
      </w:r>
      <w:r>
        <w:rPr>
          <w:sz w:val="25"/>
        </w:rPr>
        <w:t xml:space="preserve"> number of households and not the overall population that is relevant as each household is unlikely to have more than one PNG connection. Moreover, as neither the CGD Regulations nor the Bid Document required the number of projected households to be calcul</w:t>
      </w:r>
      <w:r>
        <w:rPr>
          <w:sz w:val="25"/>
        </w:rPr>
        <w:t>ated on the basis of 2011 Census data, the decision of the Board to accept the justification provided by the bidders cannot be attacked on the ground that the figures provided did not strictly match the numbers extrapolated from the 2011 Census data. Lastl</w:t>
      </w:r>
      <w:r>
        <w:rPr>
          <w:sz w:val="25"/>
        </w:rPr>
        <w:t>y, the Member Technical (Petroleum and Natural Gas)</w:t>
      </w:r>
      <w:r>
        <w:rPr>
          <w:spacing w:val="-4"/>
          <w:sz w:val="25"/>
        </w:rPr>
        <w:t xml:space="preserve"> </w:t>
      </w:r>
      <w:r>
        <w:rPr>
          <w:sz w:val="25"/>
        </w:rPr>
        <w:t>observed:</w:t>
      </w:r>
    </w:p>
    <w:p w:rsidR="008215AB" w:rsidRDefault="006513FA">
      <w:pPr>
        <w:spacing w:line="276" w:lineRule="auto"/>
        <w:ind w:left="1660" w:right="2161" w:firstLine="57"/>
        <w:jc w:val="both"/>
        <w:rPr>
          <w:b/>
          <w:sz w:val="21"/>
        </w:rPr>
      </w:pPr>
      <w:r>
        <w:rPr>
          <w:spacing w:val="-1"/>
          <w:w w:val="33"/>
          <w:sz w:val="21"/>
        </w:rPr>
        <w:t>―</w:t>
      </w:r>
      <w:r>
        <w:rPr>
          <w:spacing w:val="-1"/>
          <w:sz w:val="21"/>
        </w:rPr>
        <w:t>51</w:t>
      </w:r>
      <w:r>
        <w:rPr>
          <w:sz w:val="21"/>
        </w:rPr>
        <w:t>.</w:t>
      </w:r>
      <w:r>
        <w:rPr>
          <w:sz w:val="21"/>
        </w:rPr>
        <w:t xml:space="preserve"> </w:t>
      </w:r>
      <w:r>
        <w:rPr>
          <w:spacing w:val="-13"/>
          <w:sz w:val="21"/>
        </w:rPr>
        <w:t xml:space="preserve"> </w:t>
      </w:r>
      <w:r>
        <w:rPr>
          <w:sz w:val="21"/>
        </w:rPr>
        <w:t>…</w:t>
      </w:r>
      <w:r>
        <w:rPr>
          <w:sz w:val="21"/>
        </w:rPr>
        <w:t xml:space="preserve"> </w:t>
      </w:r>
      <w:r>
        <w:rPr>
          <w:spacing w:val="-12"/>
          <w:sz w:val="21"/>
        </w:rPr>
        <w:t xml:space="preserve"> </w:t>
      </w:r>
      <w:r>
        <w:rPr>
          <w:spacing w:val="-1"/>
          <w:sz w:val="21"/>
        </w:rPr>
        <w:t>Moreo</w:t>
      </w:r>
      <w:r>
        <w:rPr>
          <w:spacing w:val="-3"/>
          <w:sz w:val="21"/>
        </w:rPr>
        <w:t>v</w:t>
      </w:r>
      <w:r>
        <w:rPr>
          <w:spacing w:val="-1"/>
          <w:sz w:val="21"/>
        </w:rPr>
        <w:t>er</w:t>
      </w:r>
      <w:r>
        <w:rPr>
          <w:sz w:val="21"/>
        </w:rPr>
        <w:t>,</w:t>
      </w:r>
      <w:r>
        <w:rPr>
          <w:sz w:val="21"/>
        </w:rPr>
        <w:t xml:space="preserve"> </w:t>
      </w:r>
      <w:r>
        <w:rPr>
          <w:spacing w:val="-14"/>
          <w:sz w:val="21"/>
        </w:rPr>
        <w:t xml:space="preserve"> </w:t>
      </w:r>
      <w:r>
        <w:rPr>
          <w:spacing w:val="-2"/>
          <w:sz w:val="21"/>
        </w:rPr>
        <w:t>t</w:t>
      </w:r>
      <w:r>
        <w:rPr>
          <w:spacing w:val="-1"/>
          <w:sz w:val="21"/>
        </w:rPr>
        <w:t>h</w:t>
      </w:r>
      <w:r>
        <w:rPr>
          <w:sz w:val="21"/>
        </w:rPr>
        <w:t>e</w:t>
      </w:r>
      <w:r>
        <w:rPr>
          <w:sz w:val="21"/>
        </w:rPr>
        <w:t xml:space="preserve"> </w:t>
      </w:r>
      <w:r>
        <w:rPr>
          <w:spacing w:val="-11"/>
          <w:sz w:val="21"/>
        </w:rPr>
        <w:t xml:space="preserve"> </w:t>
      </w:r>
      <w:r>
        <w:rPr>
          <w:spacing w:val="-3"/>
          <w:sz w:val="21"/>
        </w:rPr>
        <w:t>c</w:t>
      </w:r>
      <w:r>
        <w:rPr>
          <w:spacing w:val="-1"/>
          <w:sz w:val="21"/>
        </w:rPr>
        <w:t>a</w:t>
      </w:r>
      <w:r>
        <w:rPr>
          <w:spacing w:val="1"/>
          <w:sz w:val="21"/>
        </w:rPr>
        <w:t>l</w:t>
      </w:r>
      <w:r>
        <w:rPr>
          <w:sz w:val="21"/>
        </w:rPr>
        <w:t>c</w:t>
      </w:r>
      <w:r>
        <w:rPr>
          <w:spacing w:val="-3"/>
          <w:sz w:val="21"/>
        </w:rPr>
        <w:t>u</w:t>
      </w:r>
      <w:r>
        <w:rPr>
          <w:sz w:val="21"/>
        </w:rPr>
        <w:t>l</w:t>
      </w:r>
      <w:r>
        <w:rPr>
          <w:spacing w:val="-1"/>
          <w:sz w:val="21"/>
        </w:rPr>
        <w:t>a</w:t>
      </w:r>
      <w:r>
        <w:rPr>
          <w:spacing w:val="-4"/>
          <w:sz w:val="21"/>
        </w:rPr>
        <w:t>t</w:t>
      </w:r>
      <w:r>
        <w:rPr>
          <w:sz w:val="21"/>
        </w:rPr>
        <w:t>i</w:t>
      </w:r>
      <w:r>
        <w:rPr>
          <w:spacing w:val="-1"/>
          <w:sz w:val="21"/>
        </w:rPr>
        <w:t>o</w:t>
      </w:r>
      <w:r>
        <w:rPr>
          <w:spacing w:val="-3"/>
          <w:sz w:val="21"/>
        </w:rPr>
        <w:t>n</w:t>
      </w:r>
      <w:r>
        <w:rPr>
          <w:sz w:val="21"/>
        </w:rPr>
        <w:t>s</w:t>
      </w:r>
      <w:r>
        <w:rPr>
          <w:sz w:val="21"/>
        </w:rPr>
        <w:t xml:space="preserve"> </w:t>
      </w:r>
      <w:r>
        <w:rPr>
          <w:spacing w:val="-12"/>
          <w:sz w:val="21"/>
        </w:rPr>
        <w:t xml:space="preserve"> </w:t>
      </w:r>
      <w:r>
        <w:rPr>
          <w:spacing w:val="-1"/>
          <w:sz w:val="21"/>
        </w:rPr>
        <w:t>ha</w:t>
      </w:r>
      <w:r>
        <w:rPr>
          <w:spacing w:val="-3"/>
          <w:sz w:val="21"/>
        </w:rPr>
        <w:t>v</w:t>
      </w:r>
      <w:r>
        <w:rPr>
          <w:sz w:val="21"/>
        </w:rPr>
        <w:t>e</w:t>
      </w:r>
      <w:r>
        <w:rPr>
          <w:sz w:val="21"/>
        </w:rPr>
        <w:t xml:space="preserve"> </w:t>
      </w:r>
      <w:r>
        <w:rPr>
          <w:spacing w:val="-12"/>
          <w:sz w:val="21"/>
        </w:rPr>
        <w:t xml:space="preserve"> </w:t>
      </w:r>
      <w:r>
        <w:rPr>
          <w:spacing w:val="-1"/>
          <w:sz w:val="21"/>
        </w:rPr>
        <w:t>b</w:t>
      </w:r>
      <w:r>
        <w:rPr>
          <w:spacing w:val="-3"/>
          <w:sz w:val="21"/>
        </w:rPr>
        <w:t>e</w:t>
      </w:r>
      <w:r>
        <w:rPr>
          <w:spacing w:val="-1"/>
          <w:sz w:val="21"/>
        </w:rPr>
        <w:t>e</w:t>
      </w:r>
      <w:r>
        <w:rPr>
          <w:sz w:val="21"/>
        </w:rPr>
        <w:t>n</w:t>
      </w:r>
      <w:r>
        <w:rPr>
          <w:sz w:val="21"/>
        </w:rPr>
        <w:t xml:space="preserve"> </w:t>
      </w:r>
      <w:r>
        <w:rPr>
          <w:spacing w:val="-11"/>
          <w:sz w:val="21"/>
        </w:rPr>
        <w:t xml:space="preserve"> </w:t>
      </w:r>
      <w:r>
        <w:rPr>
          <w:spacing w:val="-3"/>
          <w:sz w:val="21"/>
        </w:rPr>
        <w:t>d</w:t>
      </w:r>
      <w:r>
        <w:rPr>
          <w:spacing w:val="-1"/>
          <w:sz w:val="21"/>
        </w:rPr>
        <w:t>on</w:t>
      </w:r>
      <w:r>
        <w:rPr>
          <w:sz w:val="21"/>
        </w:rPr>
        <w:t>e</w:t>
      </w:r>
      <w:r>
        <w:rPr>
          <w:sz w:val="21"/>
        </w:rPr>
        <w:t xml:space="preserve"> </w:t>
      </w:r>
      <w:r>
        <w:rPr>
          <w:spacing w:val="-11"/>
          <w:sz w:val="21"/>
        </w:rPr>
        <w:t xml:space="preserve"> </w:t>
      </w:r>
      <w:r>
        <w:rPr>
          <w:spacing w:val="-1"/>
          <w:sz w:val="21"/>
        </w:rPr>
        <w:t>b</w:t>
      </w:r>
      <w:r>
        <w:rPr>
          <w:sz w:val="21"/>
        </w:rPr>
        <w:t>y</w:t>
      </w:r>
      <w:r>
        <w:rPr>
          <w:sz w:val="21"/>
        </w:rPr>
        <w:t xml:space="preserve"> </w:t>
      </w:r>
      <w:r>
        <w:rPr>
          <w:spacing w:val="-14"/>
          <w:sz w:val="21"/>
        </w:rPr>
        <w:t xml:space="preserve"> </w:t>
      </w:r>
      <w:r>
        <w:rPr>
          <w:spacing w:val="-3"/>
          <w:sz w:val="21"/>
        </w:rPr>
        <w:t>a</w:t>
      </w:r>
      <w:r>
        <w:rPr>
          <w:sz w:val="21"/>
        </w:rPr>
        <w:t xml:space="preserve">n </w:t>
      </w:r>
      <w:r>
        <w:rPr>
          <w:sz w:val="21"/>
        </w:rPr>
        <w:t xml:space="preserve">expert body (the Board) which has been constituted as per Statutory Act. In addition, </w:t>
      </w:r>
      <w:r>
        <w:rPr>
          <w:b/>
          <w:sz w:val="21"/>
        </w:rPr>
        <w:t>the estimates on future PNG domestic connections made by the 3 bidders based on various parameters are only estimates. These are not meant</w:t>
      </w:r>
      <w:r>
        <w:rPr>
          <w:b/>
          <w:spacing w:val="15"/>
          <w:sz w:val="21"/>
        </w:rPr>
        <w:t xml:space="preserve"> </w:t>
      </w:r>
      <w:r>
        <w:rPr>
          <w:b/>
          <w:sz w:val="21"/>
        </w:rPr>
        <w:t>to</w:t>
      </w:r>
      <w:r>
        <w:rPr>
          <w:b/>
          <w:spacing w:val="16"/>
          <w:sz w:val="21"/>
        </w:rPr>
        <w:t xml:space="preserve"> </w:t>
      </w:r>
      <w:r>
        <w:rPr>
          <w:b/>
          <w:sz w:val="21"/>
        </w:rPr>
        <w:t>be</w:t>
      </w:r>
      <w:r>
        <w:rPr>
          <w:b/>
          <w:spacing w:val="17"/>
          <w:sz w:val="21"/>
        </w:rPr>
        <w:t xml:space="preserve"> </w:t>
      </w:r>
      <w:r>
        <w:rPr>
          <w:b/>
          <w:sz w:val="21"/>
        </w:rPr>
        <w:t>arrived</w:t>
      </w:r>
      <w:r>
        <w:rPr>
          <w:b/>
          <w:spacing w:val="16"/>
          <w:sz w:val="21"/>
        </w:rPr>
        <w:t xml:space="preserve"> </w:t>
      </w:r>
      <w:r>
        <w:rPr>
          <w:b/>
          <w:sz w:val="21"/>
        </w:rPr>
        <w:t>at</w:t>
      </w:r>
      <w:r>
        <w:rPr>
          <w:b/>
          <w:spacing w:val="12"/>
          <w:sz w:val="21"/>
        </w:rPr>
        <w:t xml:space="preserve"> </w:t>
      </w:r>
      <w:r>
        <w:rPr>
          <w:b/>
          <w:sz w:val="21"/>
        </w:rPr>
        <w:t>by</w:t>
      </w:r>
      <w:r>
        <w:rPr>
          <w:b/>
          <w:spacing w:val="14"/>
          <w:sz w:val="21"/>
        </w:rPr>
        <w:t xml:space="preserve"> </w:t>
      </w:r>
      <w:r>
        <w:rPr>
          <w:b/>
          <w:sz w:val="21"/>
        </w:rPr>
        <w:t>any</w:t>
      </w:r>
      <w:r>
        <w:rPr>
          <w:b/>
          <w:spacing w:val="11"/>
          <w:sz w:val="21"/>
        </w:rPr>
        <w:t xml:space="preserve"> </w:t>
      </w:r>
      <w:r>
        <w:rPr>
          <w:b/>
          <w:sz w:val="21"/>
        </w:rPr>
        <w:t>specified</w:t>
      </w:r>
      <w:r>
        <w:rPr>
          <w:b/>
          <w:spacing w:val="17"/>
          <w:sz w:val="21"/>
        </w:rPr>
        <w:t xml:space="preserve"> </w:t>
      </w:r>
      <w:r>
        <w:rPr>
          <w:b/>
          <w:sz w:val="21"/>
        </w:rPr>
        <w:t>formula</w:t>
      </w:r>
      <w:r>
        <w:rPr>
          <w:b/>
          <w:spacing w:val="13"/>
          <w:sz w:val="21"/>
        </w:rPr>
        <w:t xml:space="preserve"> </w:t>
      </w:r>
      <w:r>
        <w:rPr>
          <w:b/>
          <w:sz w:val="21"/>
        </w:rPr>
        <w:t>or</w:t>
      </w:r>
      <w:r>
        <w:rPr>
          <w:b/>
          <w:spacing w:val="15"/>
          <w:sz w:val="21"/>
        </w:rPr>
        <w:t xml:space="preserve"> </w:t>
      </w:r>
      <w:r>
        <w:rPr>
          <w:b/>
          <w:sz w:val="21"/>
        </w:rPr>
        <w:t>direct</w:t>
      </w:r>
    </w:p>
    <w:p w:rsidR="008215AB" w:rsidRDefault="008215AB">
      <w:pPr>
        <w:pStyle w:val="BodyText"/>
        <w:spacing w:before="4"/>
        <w:rPr>
          <w:b/>
          <w:sz w:val="12"/>
        </w:rPr>
      </w:pPr>
      <w:r w:rsidRPr="008215AB">
        <w:pict>
          <v:rect id="_x0000_s2050" style="position:absolute;margin-left:1in;margin-top:9.1pt;width:2in;height:.6pt;z-index:-15723008;mso-wrap-distance-left:0;mso-wrap-distance-right:0;mso-position-horizontal-relative:page" fillcolor="black" stroked="f">
            <w10:wrap type="topAndBottom" anchorx="page"/>
          </v:rect>
        </w:pict>
      </w:r>
    </w:p>
    <w:p w:rsidR="008215AB" w:rsidRDefault="006513FA">
      <w:pPr>
        <w:spacing w:before="80"/>
        <w:ind w:left="220"/>
        <w:rPr>
          <w:sz w:val="18"/>
        </w:rPr>
      </w:pPr>
      <w:r>
        <w:rPr>
          <w:sz w:val="18"/>
          <w:vertAlign w:val="superscript"/>
        </w:rPr>
        <w:t>17</w:t>
      </w:r>
      <w:r>
        <w:rPr>
          <w:sz w:val="18"/>
        </w:rPr>
        <w:t xml:space="preserve"> ―CAGR‖</w:t>
      </w:r>
    </w:p>
    <w:p w:rsidR="008215AB" w:rsidRDefault="008215AB">
      <w:pPr>
        <w:rPr>
          <w:sz w:val="18"/>
        </w:rPr>
        <w:sectPr w:rsidR="008215AB">
          <w:pgSz w:w="11910" w:h="16840"/>
          <w:pgMar w:top="1300" w:right="1100" w:bottom="1220" w:left="1220" w:header="0" w:footer="1034" w:gutter="0"/>
          <w:cols w:space="720"/>
        </w:sectPr>
      </w:pPr>
    </w:p>
    <w:p w:rsidR="008215AB" w:rsidRDefault="006513FA">
      <w:pPr>
        <w:spacing w:before="76" w:line="276" w:lineRule="auto"/>
        <w:ind w:left="1660" w:right="2162"/>
        <w:jc w:val="both"/>
        <w:rPr>
          <w:sz w:val="21"/>
        </w:rPr>
      </w:pPr>
      <w:r>
        <w:rPr>
          <w:b/>
          <w:sz w:val="21"/>
        </w:rPr>
        <w:t>mathematical precision. The power to weed out unreasonably high or low quote is only an enabling power and not a yardstick or parameter for</w:t>
      </w:r>
      <w:r>
        <w:rPr>
          <w:b/>
          <w:spacing w:val="-23"/>
          <w:sz w:val="21"/>
        </w:rPr>
        <w:t xml:space="preserve"> </w:t>
      </w:r>
      <w:r>
        <w:rPr>
          <w:b/>
          <w:sz w:val="21"/>
        </w:rPr>
        <w:t>evaluation.</w:t>
      </w:r>
      <w:r>
        <w:rPr>
          <w:sz w:val="21"/>
        </w:rPr>
        <w:t>‖</w:t>
      </w:r>
    </w:p>
    <w:p w:rsidR="008215AB" w:rsidRDefault="008215AB">
      <w:pPr>
        <w:pStyle w:val="BodyText"/>
        <w:spacing w:before="3"/>
        <w:rPr>
          <w:sz w:val="24"/>
        </w:rPr>
      </w:pPr>
    </w:p>
    <w:p w:rsidR="008215AB" w:rsidRDefault="006513FA">
      <w:pPr>
        <w:ind w:left="5518"/>
        <w:rPr>
          <w:sz w:val="21"/>
        </w:rPr>
      </w:pPr>
      <w:r>
        <w:rPr>
          <w:sz w:val="21"/>
        </w:rPr>
        <w:t>(Emphasis supplied)</w:t>
      </w:r>
    </w:p>
    <w:p w:rsidR="008215AB" w:rsidRDefault="008215AB">
      <w:pPr>
        <w:pStyle w:val="BodyText"/>
        <w:spacing w:before="3"/>
        <w:rPr>
          <w:sz w:val="27"/>
        </w:rPr>
      </w:pPr>
    </w:p>
    <w:p w:rsidR="008215AB" w:rsidRDefault="006513FA">
      <w:pPr>
        <w:pStyle w:val="BodyText"/>
        <w:spacing w:line="480" w:lineRule="auto"/>
        <w:ind w:left="220" w:right="337"/>
        <w:jc w:val="both"/>
      </w:pPr>
      <w:r>
        <w:t>The power granted to the Board under Clause 14.2 of the Bid Document is an enabli</w:t>
      </w:r>
      <w:r>
        <w:t>ng clause that allows the Board to apply its mind to a quote and determine its reasonableness. The quotes submitted by all bidders with respect to the projected number of households in 2026 are admittedly estimates. Similarly, the Board‘s own determination</w:t>
      </w:r>
      <w:r>
        <w:t xml:space="preserve"> of a baseline for comparing the reasonableness of various quotes is also an estimate. Therefore, the Board‘s use of the baseline figure and its consequent acceptance of the reasonability of a quote cannot be faulted because it did not strictly adhere to o</w:t>
      </w:r>
      <w:r>
        <w:t>ne particular methodology of arriving at a number of projected households unless the methodology used is arbitrary, having no correlation with the result sought to be achieved. We therefore approve of the finding of the Member Technical with respect to the</w:t>
      </w:r>
      <w:r>
        <w:t xml:space="preserve"> calculation of the number of households.</w:t>
      </w:r>
    </w:p>
    <w:p w:rsidR="008215AB" w:rsidRDefault="008215AB">
      <w:pPr>
        <w:pStyle w:val="BodyText"/>
        <w:spacing w:before="2"/>
      </w:pPr>
    </w:p>
    <w:p w:rsidR="008215AB" w:rsidRDefault="006513FA">
      <w:pPr>
        <w:pStyle w:val="ListParagraph"/>
        <w:numPr>
          <w:ilvl w:val="0"/>
          <w:numId w:val="4"/>
        </w:numPr>
        <w:tabs>
          <w:tab w:val="left" w:pos="941"/>
        </w:tabs>
        <w:spacing w:line="480" w:lineRule="auto"/>
        <w:ind w:right="337" w:firstLine="0"/>
        <w:jc w:val="both"/>
        <w:rPr>
          <w:sz w:val="25"/>
        </w:rPr>
      </w:pPr>
      <w:r>
        <w:rPr>
          <w:sz w:val="25"/>
        </w:rPr>
        <w:t>The present batch of appeals arises from two divergent opinions of the Chairperson and the Member Technical (Petroleum and Natural Gas) of the APTEL. Several arguments urged by the appellants before us find voice in the opinion of the Chairperson. Therefor</w:t>
      </w:r>
      <w:r>
        <w:rPr>
          <w:sz w:val="25"/>
        </w:rPr>
        <w:t>e, for the sake of completeness it is necessary to briefly advert to the opinion of the Chairperson allowing the appeals. The Chairperson observed as</w:t>
      </w:r>
      <w:r>
        <w:rPr>
          <w:spacing w:val="-1"/>
          <w:sz w:val="25"/>
        </w:rPr>
        <w:t xml:space="preserve"> </w:t>
      </w:r>
      <w:r>
        <w:rPr>
          <w:sz w:val="25"/>
        </w:rPr>
        <w:t>follows:</w:t>
      </w:r>
    </w:p>
    <w:p w:rsidR="008215AB" w:rsidRDefault="006513FA">
      <w:pPr>
        <w:spacing w:line="276" w:lineRule="auto"/>
        <w:ind w:left="1660" w:right="2161"/>
        <w:jc w:val="both"/>
        <w:rPr>
          <w:b/>
          <w:sz w:val="21"/>
        </w:rPr>
      </w:pPr>
      <w:r>
        <w:rPr>
          <w:spacing w:val="-1"/>
          <w:w w:val="33"/>
          <w:sz w:val="21"/>
        </w:rPr>
        <w:t>―</w:t>
      </w:r>
      <w:r>
        <w:rPr>
          <w:spacing w:val="-1"/>
          <w:sz w:val="21"/>
        </w:rPr>
        <w:t>136</w:t>
      </w:r>
      <w:r>
        <w:rPr>
          <w:sz w:val="21"/>
        </w:rPr>
        <w:t>.</w:t>
      </w:r>
      <w:r>
        <w:rPr>
          <w:sz w:val="21"/>
        </w:rPr>
        <w:t xml:space="preserve">  </w:t>
      </w:r>
      <w:r>
        <w:rPr>
          <w:spacing w:val="-25"/>
          <w:sz w:val="21"/>
        </w:rPr>
        <w:t xml:space="preserve"> </w:t>
      </w:r>
      <w:r>
        <w:rPr>
          <w:sz w:val="21"/>
        </w:rPr>
        <w:t>…</w:t>
      </w:r>
      <w:r>
        <w:rPr>
          <w:sz w:val="21"/>
        </w:rPr>
        <w:t xml:space="preserve">  </w:t>
      </w:r>
      <w:r>
        <w:rPr>
          <w:spacing w:val="-25"/>
          <w:sz w:val="21"/>
        </w:rPr>
        <w:t xml:space="preserve"> </w:t>
      </w:r>
      <w:r>
        <w:rPr>
          <w:spacing w:val="-4"/>
          <w:sz w:val="21"/>
        </w:rPr>
        <w:t>O</w:t>
      </w:r>
      <w:r>
        <w:rPr>
          <w:sz w:val="21"/>
        </w:rPr>
        <w:t>n</w:t>
      </w:r>
      <w:r>
        <w:rPr>
          <w:sz w:val="21"/>
        </w:rPr>
        <w:t xml:space="preserve">  </w:t>
      </w:r>
      <w:r>
        <w:rPr>
          <w:spacing w:val="-24"/>
          <w:sz w:val="21"/>
        </w:rPr>
        <w:t xml:space="preserve"> </w:t>
      </w:r>
      <w:r>
        <w:rPr>
          <w:spacing w:val="-3"/>
          <w:sz w:val="21"/>
        </w:rPr>
        <w:t>2</w:t>
      </w:r>
      <w:r>
        <w:rPr>
          <w:spacing w:val="-1"/>
          <w:sz w:val="21"/>
        </w:rPr>
        <w:t>3.07.2</w:t>
      </w:r>
      <w:r>
        <w:rPr>
          <w:spacing w:val="-3"/>
          <w:sz w:val="21"/>
        </w:rPr>
        <w:t>01</w:t>
      </w:r>
      <w:r>
        <w:rPr>
          <w:sz w:val="21"/>
        </w:rPr>
        <w:t>8</w:t>
      </w:r>
      <w:r>
        <w:rPr>
          <w:sz w:val="21"/>
        </w:rPr>
        <w:t xml:space="preserve">  </w:t>
      </w:r>
      <w:r>
        <w:rPr>
          <w:spacing w:val="-24"/>
          <w:sz w:val="21"/>
        </w:rPr>
        <w:t xml:space="preserve"> </w:t>
      </w:r>
      <w:r>
        <w:rPr>
          <w:sz w:val="21"/>
        </w:rPr>
        <w:t>cer</w:t>
      </w:r>
      <w:r>
        <w:rPr>
          <w:spacing w:val="-2"/>
          <w:sz w:val="21"/>
        </w:rPr>
        <w:t>t</w:t>
      </w:r>
      <w:r>
        <w:rPr>
          <w:spacing w:val="-3"/>
          <w:sz w:val="21"/>
        </w:rPr>
        <w:t>a</w:t>
      </w:r>
      <w:r>
        <w:rPr>
          <w:sz w:val="21"/>
        </w:rPr>
        <w:t>in</w:t>
      </w:r>
      <w:r>
        <w:rPr>
          <w:sz w:val="21"/>
        </w:rPr>
        <w:t xml:space="preserve">  </w:t>
      </w:r>
      <w:r>
        <w:rPr>
          <w:spacing w:val="-24"/>
          <w:sz w:val="21"/>
        </w:rPr>
        <w:t xml:space="preserve"> </w:t>
      </w:r>
      <w:r>
        <w:rPr>
          <w:spacing w:val="2"/>
          <w:sz w:val="21"/>
        </w:rPr>
        <w:t>c</w:t>
      </w:r>
      <w:r>
        <w:rPr>
          <w:spacing w:val="-4"/>
          <w:sz w:val="21"/>
        </w:rPr>
        <w:t>r</w:t>
      </w:r>
      <w:r>
        <w:rPr>
          <w:sz w:val="21"/>
        </w:rPr>
        <w:t>i</w:t>
      </w:r>
      <w:r>
        <w:rPr>
          <w:spacing w:val="-2"/>
          <w:sz w:val="21"/>
        </w:rPr>
        <w:t>t</w:t>
      </w:r>
      <w:r>
        <w:rPr>
          <w:sz w:val="21"/>
        </w:rPr>
        <w:t>er</w:t>
      </w:r>
      <w:r>
        <w:rPr>
          <w:spacing w:val="-2"/>
          <w:sz w:val="21"/>
        </w:rPr>
        <w:t>i</w:t>
      </w:r>
      <w:r>
        <w:rPr>
          <w:sz w:val="21"/>
        </w:rPr>
        <w:t>a</w:t>
      </w:r>
      <w:r>
        <w:rPr>
          <w:spacing w:val="-1"/>
          <w:sz w:val="21"/>
        </w:rPr>
        <w:t>/</w:t>
      </w:r>
      <w:r>
        <w:rPr>
          <w:sz w:val="21"/>
        </w:rPr>
        <w:t>par</w:t>
      </w:r>
      <w:r>
        <w:rPr>
          <w:spacing w:val="-3"/>
          <w:sz w:val="21"/>
        </w:rPr>
        <w:t>a</w:t>
      </w:r>
      <w:r>
        <w:rPr>
          <w:spacing w:val="-1"/>
          <w:sz w:val="21"/>
        </w:rPr>
        <w:t>m</w:t>
      </w:r>
      <w:r>
        <w:rPr>
          <w:spacing w:val="-3"/>
          <w:sz w:val="21"/>
        </w:rPr>
        <w:t>e</w:t>
      </w:r>
      <w:r>
        <w:rPr>
          <w:spacing w:val="-2"/>
          <w:sz w:val="21"/>
        </w:rPr>
        <w:t>t</w:t>
      </w:r>
      <w:r>
        <w:rPr>
          <w:sz w:val="21"/>
        </w:rPr>
        <w:t>ers</w:t>
      </w:r>
      <w:r>
        <w:rPr>
          <w:sz w:val="21"/>
        </w:rPr>
        <w:t xml:space="preserve">  </w:t>
      </w:r>
      <w:r>
        <w:rPr>
          <w:spacing w:val="-25"/>
          <w:sz w:val="21"/>
        </w:rPr>
        <w:t xml:space="preserve"> </w:t>
      </w:r>
      <w:r>
        <w:rPr>
          <w:spacing w:val="-2"/>
          <w:sz w:val="21"/>
        </w:rPr>
        <w:t>w</w:t>
      </w:r>
      <w:r>
        <w:rPr>
          <w:sz w:val="21"/>
        </w:rPr>
        <w:t xml:space="preserve">ere </w:t>
      </w:r>
      <w:r>
        <w:rPr>
          <w:sz w:val="21"/>
        </w:rPr>
        <w:t xml:space="preserve">indicated by this so called Evaluation Committee in the Agenda Note. … This indicates that the exercise so far as criteria/ parameters was uniform for all the bids. …. </w:t>
      </w:r>
      <w:r>
        <w:rPr>
          <w:b/>
          <w:sz w:val="21"/>
        </w:rPr>
        <w:t>The report on Agenda Note dated 09.08.2018, in fact, recommended</w:t>
      </w:r>
      <w:r>
        <w:rPr>
          <w:b/>
          <w:spacing w:val="14"/>
          <w:sz w:val="21"/>
        </w:rPr>
        <w:t xml:space="preserve"> </w:t>
      </w:r>
      <w:r>
        <w:rPr>
          <w:b/>
          <w:sz w:val="21"/>
        </w:rPr>
        <w:t>that</w:t>
      </w:r>
      <w:r>
        <w:rPr>
          <w:b/>
          <w:spacing w:val="13"/>
          <w:sz w:val="21"/>
        </w:rPr>
        <w:t xml:space="preserve"> </w:t>
      </w:r>
      <w:r>
        <w:rPr>
          <w:b/>
          <w:sz w:val="21"/>
        </w:rPr>
        <w:t>the</w:t>
      </w:r>
      <w:r>
        <w:rPr>
          <w:b/>
          <w:spacing w:val="12"/>
          <w:sz w:val="21"/>
        </w:rPr>
        <w:t xml:space="preserve"> </w:t>
      </w:r>
      <w:r>
        <w:rPr>
          <w:b/>
          <w:sz w:val="21"/>
        </w:rPr>
        <w:t>highest</w:t>
      </w:r>
      <w:r>
        <w:rPr>
          <w:b/>
          <w:spacing w:val="13"/>
          <w:sz w:val="21"/>
        </w:rPr>
        <w:t xml:space="preserve"> </w:t>
      </w:r>
      <w:r>
        <w:rPr>
          <w:b/>
          <w:sz w:val="21"/>
        </w:rPr>
        <w:t>bidder</w:t>
      </w:r>
      <w:r>
        <w:rPr>
          <w:b/>
          <w:sz w:val="21"/>
        </w:rPr>
        <w:t>s</w:t>
      </w:r>
      <w:r>
        <w:rPr>
          <w:b/>
          <w:spacing w:val="14"/>
          <w:sz w:val="21"/>
        </w:rPr>
        <w:t xml:space="preserve"> </w:t>
      </w:r>
      <w:r>
        <w:rPr>
          <w:b/>
          <w:sz w:val="21"/>
        </w:rPr>
        <w:t>of</w:t>
      </w:r>
      <w:r>
        <w:rPr>
          <w:b/>
          <w:spacing w:val="14"/>
          <w:sz w:val="21"/>
        </w:rPr>
        <w:t xml:space="preserve"> </w:t>
      </w:r>
      <w:r>
        <w:rPr>
          <w:b/>
          <w:sz w:val="21"/>
        </w:rPr>
        <w:t>GA</w:t>
      </w:r>
      <w:r>
        <w:rPr>
          <w:b/>
          <w:spacing w:val="7"/>
          <w:sz w:val="21"/>
        </w:rPr>
        <w:t xml:space="preserve"> </w:t>
      </w:r>
      <w:r>
        <w:rPr>
          <w:b/>
          <w:sz w:val="21"/>
        </w:rPr>
        <w:t>51,</w:t>
      </w:r>
      <w:r>
        <w:rPr>
          <w:b/>
          <w:spacing w:val="13"/>
          <w:sz w:val="21"/>
        </w:rPr>
        <w:t xml:space="preserve"> </w:t>
      </w:r>
      <w:r>
        <w:rPr>
          <w:b/>
          <w:sz w:val="21"/>
        </w:rPr>
        <w:t>61,</w:t>
      </w:r>
      <w:r>
        <w:rPr>
          <w:b/>
          <w:spacing w:val="13"/>
          <w:sz w:val="21"/>
        </w:rPr>
        <w:t xml:space="preserve"> </w:t>
      </w:r>
      <w:r>
        <w:rPr>
          <w:b/>
          <w:sz w:val="21"/>
        </w:rPr>
        <w:t>and</w:t>
      </w:r>
    </w:p>
    <w:p w:rsidR="008215AB" w:rsidRDefault="008215AB">
      <w:pPr>
        <w:spacing w:line="276" w:lineRule="auto"/>
        <w:jc w:val="both"/>
        <w:rPr>
          <w:sz w:val="21"/>
        </w:rPr>
        <w:sectPr w:rsidR="008215AB">
          <w:pgSz w:w="11910" w:h="16840"/>
          <w:pgMar w:top="1340" w:right="1100" w:bottom="1220" w:left="1220" w:header="0" w:footer="1034" w:gutter="0"/>
          <w:cols w:space="720"/>
        </w:sectPr>
      </w:pPr>
    </w:p>
    <w:p w:rsidR="008215AB" w:rsidRDefault="006513FA">
      <w:pPr>
        <w:spacing w:before="76" w:line="276" w:lineRule="auto"/>
        <w:ind w:left="1660" w:right="2163"/>
        <w:jc w:val="both"/>
        <w:rPr>
          <w:sz w:val="21"/>
        </w:rPr>
      </w:pPr>
      <w:r>
        <w:rPr>
          <w:b/>
          <w:sz w:val="21"/>
        </w:rPr>
        <w:t xml:space="preserve">62 were disqualified </w:t>
      </w:r>
      <w:r>
        <w:rPr>
          <w:sz w:val="21"/>
        </w:rPr>
        <w:t>since their quote of PNG connections were beyond 100% of the total households of 2011 census.</w:t>
      </w:r>
    </w:p>
    <w:p w:rsidR="008215AB" w:rsidRDefault="006513FA">
      <w:pPr>
        <w:spacing w:line="276" w:lineRule="auto"/>
        <w:ind w:left="1660" w:right="2161"/>
        <w:jc w:val="both"/>
        <w:rPr>
          <w:sz w:val="21"/>
        </w:rPr>
      </w:pPr>
      <w:r>
        <w:rPr>
          <w:sz w:val="21"/>
        </w:rPr>
        <w:t>… However, the Minutes of the Board dated 10.08.2018 indicate that the four members of the Board out of</w:t>
      </w:r>
      <w:r>
        <w:rPr>
          <w:sz w:val="21"/>
        </w:rPr>
        <w:t xml:space="preserve"> which three had approved Agenda Note, changed their opinion so far as disqualification of highest bidder of these three GAs 51, 61 and 62. It‘s also noticed from the affidavit of the Board filed 09.11.2018 that </w:t>
      </w:r>
      <w:r>
        <w:rPr>
          <w:b/>
          <w:sz w:val="21"/>
        </w:rPr>
        <w:t>the Board has correctly applied the unreason</w:t>
      </w:r>
      <w:r>
        <w:rPr>
          <w:b/>
          <w:sz w:val="21"/>
        </w:rPr>
        <w:t xml:space="preserve">able low criteria to all the bidders whose bid was below </w:t>
      </w:r>
      <w:r>
        <w:rPr>
          <w:b/>
          <w:spacing w:val="-2"/>
          <w:sz w:val="21"/>
        </w:rPr>
        <w:t xml:space="preserve">2%, </w:t>
      </w:r>
      <w:r>
        <w:rPr>
          <w:b/>
          <w:sz w:val="21"/>
        </w:rPr>
        <w:t xml:space="preserve">but surprisingly the bids which were beyond the limit of 100% of 2011 census, the Board thought it fit to relax the criteria </w:t>
      </w:r>
      <w:r>
        <w:rPr>
          <w:sz w:val="21"/>
        </w:rPr>
        <w:t xml:space="preserve">by calling the high bidders for negotiation. </w:t>
      </w:r>
      <w:r>
        <w:rPr>
          <w:b/>
          <w:sz w:val="21"/>
        </w:rPr>
        <w:t>If the Board thought it f</w:t>
      </w:r>
      <w:r>
        <w:rPr>
          <w:b/>
          <w:sz w:val="21"/>
        </w:rPr>
        <w:t xml:space="preserve">it to hear </w:t>
      </w:r>
      <w:r>
        <w:rPr>
          <w:b/>
          <w:spacing w:val="-2"/>
          <w:sz w:val="21"/>
        </w:rPr>
        <w:t xml:space="preserve">the </w:t>
      </w:r>
      <w:r>
        <w:rPr>
          <w:b/>
          <w:sz w:val="21"/>
        </w:rPr>
        <w:t xml:space="preserve">affected parties, then it ought to have invited all the affected parties of the said GA i.e., all the bidders who stand to lose the bid, </w:t>
      </w:r>
      <w:r>
        <w:rPr>
          <w:sz w:val="21"/>
        </w:rPr>
        <w:t>since such procedure was exercised so far as unreasonably low criteria to all bidders who quoted below 2</w:t>
      </w:r>
      <w:r>
        <w:rPr>
          <w:sz w:val="21"/>
        </w:rPr>
        <w:t xml:space="preserve">% of 2011 census. </w:t>
      </w:r>
      <w:r>
        <w:rPr>
          <w:b/>
          <w:sz w:val="21"/>
        </w:rPr>
        <w:t xml:space="preserve">Assessment of reasonability of a bid cannot be equated with the concept of rejection of a bid as not qualified for a particular criteria. </w:t>
      </w:r>
      <w:r>
        <w:rPr>
          <w:sz w:val="21"/>
        </w:rPr>
        <w:t xml:space="preserve">Reasonability of a bid has reference to subjective assessment/satisfaction. The assessment of a bid </w:t>
      </w:r>
      <w:r>
        <w:rPr>
          <w:sz w:val="21"/>
        </w:rPr>
        <w:t>based on the available material would amount to objective</w:t>
      </w:r>
      <w:r>
        <w:rPr>
          <w:spacing w:val="-9"/>
          <w:sz w:val="21"/>
        </w:rPr>
        <w:t xml:space="preserve"> </w:t>
      </w:r>
      <w:r>
        <w:rPr>
          <w:sz w:val="21"/>
        </w:rPr>
        <w:t>assessment.‖</w:t>
      </w:r>
    </w:p>
    <w:p w:rsidR="008215AB" w:rsidRDefault="006513FA">
      <w:pPr>
        <w:spacing w:before="1"/>
        <w:ind w:left="5515"/>
        <w:rPr>
          <w:sz w:val="21"/>
        </w:rPr>
      </w:pPr>
      <w:r>
        <w:rPr>
          <w:sz w:val="21"/>
        </w:rPr>
        <w:t>(Emphasis supplied)</w:t>
      </w:r>
    </w:p>
    <w:p w:rsidR="008215AB" w:rsidRDefault="006513FA">
      <w:pPr>
        <w:pStyle w:val="BodyText"/>
        <w:spacing w:before="38" w:line="480" w:lineRule="auto"/>
        <w:ind w:left="220" w:right="337"/>
        <w:jc w:val="both"/>
      </w:pPr>
      <w:r>
        <w:t>It is evident from the above extract that the Chairperson‘s findings are based on three key assumptions:</w:t>
      </w:r>
    </w:p>
    <w:p w:rsidR="008215AB" w:rsidRDefault="006513FA">
      <w:pPr>
        <w:pStyle w:val="ListParagraph"/>
        <w:numPr>
          <w:ilvl w:val="1"/>
          <w:numId w:val="4"/>
        </w:numPr>
        <w:tabs>
          <w:tab w:val="left" w:pos="1661"/>
        </w:tabs>
        <w:spacing w:line="480" w:lineRule="auto"/>
        <w:ind w:hanging="809"/>
        <w:jc w:val="both"/>
        <w:rPr>
          <w:sz w:val="25"/>
        </w:rPr>
      </w:pPr>
      <w:r>
        <w:rPr>
          <w:sz w:val="25"/>
        </w:rPr>
        <w:t>The Board Note dated 23 July 2018 was binding on the Board and the agenda note dated 9 August 2018 was evidence of the Board Note‘s binding</w:t>
      </w:r>
      <w:r>
        <w:rPr>
          <w:spacing w:val="-2"/>
          <w:sz w:val="25"/>
        </w:rPr>
        <w:t xml:space="preserve"> </w:t>
      </w:r>
      <w:r>
        <w:rPr>
          <w:sz w:val="25"/>
        </w:rPr>
        <w:t>nature;</w:t>
      </w:r>
    </w:p>
    <w:p w:rsidR="008215AB" w:rsidRDefault="006513FA">
      <w:pPr>
        <w:pStyle w:val="ListParagraph"/>
        <w:numPr>
          <w:ilvl w:val="1"/>
          <w:numId w:val="4"/>
        </w:numPr>
        <w:tabs>
          <w:tab w:val="left" w:pos="1661"/>
        </w:tabs>
        <w:spacing w:line="480" w:lineRule="auto"/>
        <w:ind w:right="340" w:hanging="809"/>
        <w:jc w:val="both"/>
        <w:rPr>
          <w:sz w:val="25"/>
        </w:rPr>
      </w:pPr>
      <w:r>
        <w:rPr>
          <w:sz w:val="25"/>
        </w:rPr>
        <w:t>Because the Board disqualified certain other bidders by applying the 2 – 100 per cent range, it was bound to</w:t>
      </w:r>
      <w:r>
        <w:rPr>
          <w:sz w:val="25"/>
        </w:rPr>
        <w:t xml:space="preserve"> do so against the successful bidders in GAs 51, 61 and 52;</w:t>
      </w:r>
      <w:r>
        <w:rPr>
          <w:spacing w:val="-7"/>
          <w:sz w:val="25"/>
        </w:rPr>
        <w:t xml:space="preserve"> </w:t>
      </w:r>
      <w:r>
        <w:rPr>
          <w:sz w:val="25"/>
        </w:rPr>
        <w:t>and</w:t>
      </w:r>
    </w:p>
    <w:p w:rsidR="008215AB" w:rsidRDefault="006513FA">
      <w:pPr>
        <w:pStyle w:val="ListParagraph"/>
        <w:numPr>
          <w:ilvl w:val="1"/>
          <w:numId w:val="4"/>
        </w:numPr>
        <w:tabs>
          <w:tab w:val="left" w:pos="1661"/>
        </w:tabs>
        <w:spacing w:before="2" w:line="480" w:lineRule="auto"/>
        <w:ind w:right="343" w:hanging="809"/>
        <w:jc w:val="both"/>
        <w:rPr>
          <w:sz w:val="25"/>
        </w:rPr>
      </w:pPr>
      <w:r>
        <w:rPr>
          <w:spacing w:val="-1"/>
          <w:w w:val="99"/>
          <w:sz w:val="25"/>
        </w:rPr>
        <w:t>Bec</w:t>
      </w:r>
      <w:r>
        <w:rPr>
          <w:w w:val="99"/>
          <w:sz w:val="25"/>
        </w:rPr>
        <w:t>a</w:t>
      </w:r>
      <w:r>
        <w:rPr>
          <w:spacing w:val="-1"/>
          <w:w w:val="99"/>
          <w:sz w:val="25"/>
        </w:rPr>
        <w:t>us</w:t>
      </w:r>
      <w:r>
        <w:rPr>
          <w:w w:val="99"/>
          <w:sz w:val="25"/>
        </w:rPr>
        <w:t>e</w:t>
      </w:r>
      <w:r>
        <w:rPr>
          <w:sz w:val="25"/>
        </w:rPr>
        <w:t xml:space="preserve">  </w:t>
      </w:r>
      <w:r>
        <w:rPr>
          <w:spacing w:val="12"/>
          <w:sz w:val="25"/>
        </w:rPr>
        <w:t xml:space="preserve"> </w:t>
      </w:r>
      <w:r>
        <w:rPr>
          <w:w w:val="99"/>
          <w:sz w:val="25"/>
        </w:rPr>
        <w:t>the</w:t>
      </w:r>
      <w:r>
        <w:rPr>
          <w:sz w:val="25"/>
        </w:rPr>
        <w:t xml:space="preserve">  </w:t>
      </w:r>
      <w:r>
        <w:rPr>
          <w:spacing w:val="13"/>
          <w:sz w:val="25"/>
        </w:rPr>
        <w:t xml:space="preserve"> </w:t>
      </w:r>
      <w:r>
        <w:rPr>
          <w:spacing w:val="-1"/>
          <w:w w:val="99"/>
          <w:sz w:val="25"/>
        </w:rPr>
        <w:t>ass</w:t>
      </w:r>
      <w:r>
        <w:rPr>
          <w:w w:val="99"/>
          <w:sz w:val="25"/>
        </w:rPr>
        <w:t>essm</w:t>
      </w:r>
      <w:r>
        <w:rPr>
          <w:spacing w:val="-1"/>
          <w:w w:val="99"/>
          <w:sz w:val="25"/>
        </w:rPr>
        <w:t>e</w:t>
      </w:r>
      <w:r>
        <w:rPr>
          <w:w w:val="99"/>
          <w:sz w:val="25"/>
        </w:rPr>
        <w:t>nt</w:t>
      </w:r>
      <w:r>
        <w:rPr>
          <w:sz w:val="25"/>
        </w:rPr>
        <w:t xml:space="preserve">  </w:t>
      </w:r>
      <w:r>
        <w:rPr>
          <w:spacing w:val="12"/>
          <w:sz w:val="25"/>
        </w:rPr>
        <w:t xml:space="preserve"> </w:t>
      </w:r>
      <w:r>
        <w:rPr>
          <w:spacing w:val="-1"/>
          <w:w w:val="99"/>
          <w:sz w:val="25"/>
        </w:rPr>
        <w:t>o</w:t>
      </w:r>
      <w:r>
        <w:rPr>
          <w:w w:val="99"/>
          <w:sz w:val="25"/>
        </w:rPr>
        <w:t>f</w:t>
      </w:r>
      <w:r>
        <w:rPr>
          <w:sz w:val="25"/>
        </w:rPr>
        <w:t xml:space="preserve">  </w:t>
      </w:r>
      <w:r>
        <w:rPr>
          <w:spacing w:val="12"/>
          <w:sz w:val="25"/>
        </w:rPr>
        <w:t xml:space="preserve"> </w:t>
      </w:r>
      <w:r>
        <w:rPr>
          <w:w w:val="99"/>
          <w:sz w:val="25"/>
        </w:rPr>
        <w:t>r</w:t>
      </w:r>
      <w:r>
        <w:rPr>
          <w:spacing w:val="-1"/>
          <w:w w:val="99"/>
          <w:sz w:val="25"/>
        </w:rPr>
        <w:t>e</w:t>
      </w:r>
      <w:r>
        <w:rPr>
          <w:w w:val="99"/>
          <w:sz w:val="25"/>
        </w:rPr>
        <w:t>ason</w:t>
      </w:r>
      <w:r>
        <w:rPr>
          <w:spacing w:val="-3"/>
          <w:w w:val="99"/>
          <w:sz w:val="25"/>
        </w:rPr>
        <w:t>a</w:t>
      </w:r>
      <w:r>
        <w:rPr>
          <w:spacing w:val="-1"/>
          <w:w w:val="99"/>
          <w:sz w:val="25"/>
        </w:rPr>
        <w:t>bilit</w:t>
      </w:r>
      <w:r>
        <w:rPr>
          <w:w w:val="99"/>
          <w:sz w:val="25"/>
        </w:rPr>
        <w:t>y</w:t>
      </w:r>
      <w:r>
        <w:rPr>
          <w:sz w:val="25"/>
        </w:rPr>
        <w:t xml:space="preserve">  </w:t>
      </w:r>
      <w:r>
        <w:rPr>
          <w:spacing w:val="9"/>
          <w:sz w:val="25"/>
        </w:rPr>
        <w:t xml:space="preserve"> </w:t>
      </w:r>
      <w:r>
        <w:rPr>
          <w:spacing w:val="-1"/>
          <w:w w:val="99"/>
          <w:sz w:val="25"/>
        </w:rPr>
        <w:t>wa</w:t>
      </w:r>
      <w:r>
        <w:rPr>
          <w:w w:val="99"/>
          <w:sz w:val="25"/>
        </w:rPr>
        <w:t>s</w:t>
      </w:r>
      <w:r>
        <w:rPr>
          <w:sz w:val="25"/>
        </w:rPr>
        <w:t xml:space="preserve">  </w:t>
      </w:r>
      <w:r>
        <w:rPr>
          <w:spacing w:val="12"/>
          <w:sz w:val="25"/>
        </w:rPr>
        <w:t xml:space="preserve"> </w:t>
      </w:r>
      <w:r>
        <w:rPr>
          <w:w w:val="99"/>
          <w:sz w:val="25"/>
        </w:rPr>
        <w:t>a</w:t>
      </w:r>
      <w:r>
        <w:rPr>
          <w:sz w:val="25"/>
        </w:rPr>
        <w:t xml:space="preserve">  </w:t>
      </w:r>
      <w:r>
        <w:rPr>
          <w:spacing w:val="12"/>
          <w:sz w:val="25"/>
        </w:rPr>
        <w:t xml:space="preserve"> </w:t>
      </w:r>
      <w:r>
        <w:rPr>
          <w:w w:val="33"/>
          <w:sz w:val="25"/>
        </w:rPr>
        <w:t>―</w:t>
      </w:r>
      <w:r>
        <w:rPr>
          <w:w w:val="99"/>
          <w:sz w:val="25"/>
        </w:rPr>
        <w:t>sub</w:t>
      </w:r>
      <w:r>
        <w:rPr>
          <w:spacing w:val="-1"/>
          <w:w w:val="99"/>
          <w:sz w:val="25"/>
        </w:rPr>
        <w:t>jecti</w:t>
      </w:r>
      <w:r>
        <w:rPr>
          <w:spacing w:val="-3"/>
          <w:w w:val="99"/>
          <w:sz w:val="25"/>
        </w:rPr>
        <w:t>v</w:t>
      </w:r>
      <w:r>
        <w:rPr>
          <w:w w:val="99"/>
          <w:sz w:val="25"/>
        </w:rPr>
        <w:t xml:space="preserve">e </w:t>
      </w:r>
      <w:r>
        <w:rPr>
          <w:sz w:val="25"/>
        </w:rPr>
        <w:t>assessment‖, the Board was obligated to hear other bidders in the disputed GAs before declaring successful</w:t>
      </w:r>
      <w:r>
        <w:rPr>
          <w:spacing w:val="-5"/>
          <w:sz w:val="25"/>
        </w:rPr>
        <w:t xml:space="preserve"> </w:t>
      </w:r>
      <w:r>
        <w:rPr>
          <w:sz w:val="25"/>
        </w:rPr>
        <w:t>bidders.</w:t>
      </w:r>
    </w:p>
    <w:p w:rsidR="008215AB" w:rsidRDefault="006513FA">
      <w:pPr>
        <w:pStyle w:val="ListParagraph"/>
        <w:numPr>
          <w:ilvl w:val="0"/>
          <w:numId w:val="4"/>
        </w:numPr>
        <w:tabs>
          <w:tab w:val="left" w:pos="941"/>
        </w:tabs>
        <w:spacing w:line="482" w:lineRule="auto"/>
        <w:ind w:right="335" w:firstLine="0"/>
        <w:jc w:val="both"/>
        <w:rPr>
          <w:sz w:val="25"/>
        </w:rPr>
      </w:pPr>
      <w:r>
        <w:rPr>
          <w:sz w:val="25"/>
        </w:rPr>
        <w:t>As noted previously, on a bare construction of the Board Note dated 23 July</w:t>
      </w:r>
      <w:r>
        <w:rPr>
          <w:spacing w:val="10"/>
          <w:sz w:val="25"/>
        </w:rPr>
        <w:t xml:space="preserve"> </w:t>
      </w:r>
      <w:r>
        <w:rPr>
          <w:sz w:val="25"/>
        </w:rPr>
        <w:t>2018</w:t>
      </w:r>
      <w:r>
        <w:rPr>
          <w:spacing w:val="13"/>
          <w:sz w:val="25"/>
        </w:rPr>
        <w:t xml:space="preserve"> </w:t>
      </w:r>
      <w:r>
        <w:rPr>
          <w:sz w:val="25"/>
        </w:rPr>
        <w:t>and</w:t>
      </w:r>
      <w:r>
        <w:rPr>
          <w:spacing w:val="13"/>
          <w:sz w:val="25"/>
        </w:rPr>
        <w:t xml:space="preserve"> </w:t>
      </w:r>
      <w:r>
        <w:rPr>
          <w:sz w:val="25"/>
        </w:rPr>
        <w:t>the</w:t>
      </w:r>
      <w:r>
        <w:rPr>
          <w:spacing w:val="14"/>
          <w:sz w:val="25"/>
        </w:rPr>
        <w:t xml:space="preserve"> </w:t>
      </w:r>
      <w:r>
        <w:rPr>
          <w:sz w:val="25"/>
        </w:rPr>
        <w:t>fact</w:t>
      </w:r>
      <w:r>
        <w:rPr>
          <w:spacing w:val="13"/>
          <w:sz w:val="25"/>
        </w:rPr>
        <w:t xml:space="preserve"> </w:t>
      </w:r>
      <w:r>
        <w:rPr>
          <w:sz w:val="25"/>
        </w:rPr>
        <w:t>that</w:t>
      </w:r>
      <w:r>
        <w:rPr>
          <w:spacing w:val="13"/>
          <w:sz w:val="25"/>
        </w:rPr>
        <w:t xml:space="preserve"> </w:t>
      </w:r>
      <w:r>
        <w:rPr>
          <w:sz w:val="25"/>
        </w:rPr>
        <w:t>the</w:t>
      </w:r>
      <w:r>
        <w:rPr>
          <w:spacing w:val="18"/>
          <w:sz w:val="25"/>
        </w:rPr>
        <w:t xml:space="preserve"> </w:t>
      </w:r>
      <w:r>
        <w:rPr>
          <w:sz w:val="25"/>
        </w:rPr>
        <w:t>Board</w:t>
      </w:r>
      <w:r>
        <w:rPr>
          <w:spacing w:val="13"/>
          <w:sz w:val="25"/>
        </w:rPr>
        <w:t xml:space="preserve"> </w:t>
      </w:r>
      <w:r>
        <w:rPr>
          <w:sz w:val="25"/>
        </w:rPr>
        <w:t>Note</w:t>
      </w:r>
      <w:r>
        <w:rPr>
          <w:spacing w:val="11"/>
          <w:sz w:val="25"/>
        </w:rPr>
        <w:t xml:space="preserve"> </w:t>
      </w:r>
      <w:r>
        <w:rPr>
          <w:sz w:val="25"/>
        </w:rPr>
        <w:t>was</w:t>
      </w:r>
      <w:r>
        <w:rPr>
          <w:spacing w:val="13"/>
          <w:sz w:val="25"/>
        </w:rPr>
        <w:t xml:space="preserve"> </w:t>
      </w:r>
      <w:r>
        <w:rPr>
          <w:sz w:val="25"/>
        </w:rPr>
        <w:t>formulated</w:t>
      </w:r>
      <w:r>
        <w:rPr>
          <w:spacing w:val="13"/>
          <w:sz w:val="25"/>
        </w:rPr>
        <w:t xml:space="preserve"> </w:t>
      </w:r>
      <w:r>
        <w:rPr>
          <w:sz w:val="25"/>
        </w:rPr>
        <w:t>after</w:t>
      </w:r>
      <w:r>
        <w:rPr>
          <w:spacing w:val="14"/>
          <w:sz w:val="25"/>
        </w:rPr>
        <w:t xml:space="preserve"> </w:t>
      </w:r>
      <w:r>
        <w:rPr>
          <w:sz w:val="25"/>
        </w:rPr>
        <w:t>the</w:t>
      </w:r>
      <w:r>
        <w:rPr>
          <w:spacing w:val="13"/>
          <w:sz w:val="25"/>
        </w:rPr>
        <w:t xml:space="preserve"> </w:t>
      </w:r>
      <w:r>
        <w:rPr>
          <w:sz w:val="25"/>
        </w:rPr>
        <w:t>last</w:t>
      </w:r>
      <w:r>
        <w:rPr>
          <w:spacing w:val="13"/>
          <w:sz w:val="25"/>
        </w:rPr>
        <w:t xml:space="preserve"> </w:t>
      </w:r>
      <w:r>
        <w:rPr>
          <w:sz w:val="25"/>
        </w:rPr>
        <w:t>date</w:t>
      </w:r>
      <w:r>
        <w:rPr>
          <w:spacing w:val="13"/>
          <w:sz w:val="25"/>
        </w:rPr>
        <w:t xml:space="preserve"> </w:t>
      </w:r>
      <w:r>
        <w:rPr>
          <w:sz w:val="25"/>
        </w:rPr>
        <w:t>for</w:t>
      </w:r>
    </w:p>
    <w:p w:rsidR="008215AB" w:rsidRDefault="008215AB">
      <w:pPr>
        <w:spacing w:line="482"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36"/>
        <w:jc w:val="both"/>
      </w:pPr>
      <w:r>
        <w:t>the submission of bids, the Board Note did not set out absolute criteria for disqualification of bids. The agenda note dated 9 August merely tabled a  proposal to apply the criteria of 2-100 per cent range but the Board did not subsequently adopt this cour</w:t>
      </w:r>
      <w:r>
        <w:t>se of action, a decision within its power and indeed necessary to preserve the integrity of the bidding process. Having established that the Board Note was not an absolute binding criteria, and the Tribunal was approached only with respect to GAs 51, 61 an</w:t>
      </w:r>
      <w:r>
        <w:t>d 62, the Board‘s treatment of other GAs cannot be decisive in determining the legality of the authorisations granted in GAs 51, 61 and 62, especially where the Board‘s actions in respect of these other GAs have not been independently challenged. Lastly, t</w:t>
      </w:r>
      <w:r>
        <w:t xml:space="preserve">he Chairperson has construed the assessment of the reasonability of the highest bidder‘s quote as a decision affecting the rights and liabilities of all other bidders for the GAs, thus requiring them to be heard. As noted previously, the assessment of the </w:t>
      </w:r>
      <w:r>
        <w:t xml:space="preserve">reasonability of the bid was a matter solely between the highest bidder and the Board. Such an assessment would not alter the scores of the highest bidder </w:t>
      </w:r>
      <w:r>
        <w:rPr>
          <w:i/>
        </w:rPr>
        <w:t xml:space="preserve">vis-à-vis </w:t>
      </w:r>
      <w:r>
        <w:t>the scores of the other bidders. The sole question was whether the highest bidder‘s quote w</w:t>
      </w:r>
      <w:r>
        <w:t>as reasonable, and the power to determine</w:t>
      </w:r>
      <w:r>
        <w:rPr>
          <w:spacing w:val="38"/>
        </w:rPr>
        <w:t xml:space="preserve"> </w:t>
      </w:r>
      <w:r>
        <w:t>such</w:t>
      </w:r>
      <w:r>
        <w:rPr>
          <w:spacing w:val="37"/>
        </w:rPr>
        <w:t xml:space="preserve"> </w:t>
      </w:r>
      <w:r>
        <w:t>reasonability</w:t>
      </w:r>
      <w:r>
        <w:rPr>
          <w:spacing w:val="39"/>
        </w:rPr>
        <w:t xml:space="preserve"> </w:t>
      </w:r>
      <w:r>
        <w:t>resided</w:t>
      </w:r>
      <w:r>
        <w:rPr>
          <w:spacing w:val="38"/>
        </w:rPr>
        <w:t xml:space="preserve"> </w:t>
      </w:r>
      <w:r>
        <w:t>solely</w:t>
      </w:r>
      <w:r>
        <w:rPr>
          <w:spacing w:val="37"/>
        </w:rPr>
        <w:t xml:space="preserve"> </w:t>
      </w:r>
      <w:r>
        <w:t>with</w:t>
      </w:r>
      <w:r>
        <w:rPr>
          <w:spacing w:val="39"/>
        </w:rPr>
        <w:t xml:space="preserve"> </w:t>
      </w:r>
      <w:r>
        <w:t>the</w:t>
      </w:r>
      <w:r>
        <w:rPr>
          <w:spacing w:val="38"/>
        </w:rPr>
        <w:t xml:space="preserve"> </w:t>
      </w:r>
      <w:r>
        <w:t>Board</w:t>
      </w:r>
      <w:r>
        <w:rPr>
          <w:spacing w:val="42"/>
        </w:rPr>
        <w:t xml:space="preserve"> </w:t>
      </w:r>
      <w:r>
        <w:t>by</w:t>
      </w:r>
      <w:r>
        <w:rPr>
          <w:spacing w:val="37"/>
        </w:rPr>
        <w:t xml:space="preserve"> </w:t>
      </w:r>
      <w:r>
        <w:t>virtue</w:t>
      </w:r>
      <w:r>
        <w:rPr>
          <w:spacing w:val="38"/>
        </w:rPr>
        <w:t xml:space="preserve"> </w:t>
      </w:r>
      <w:r>
        <w:t>of</w:t>
      </w:r>
      <w:r>
        <w:rPr>
          <w:spacing w:val="39"/>
        </w:rPr>
        <w:t xml:space="preserve"> </w:t>
      </w:r>
      <w:r>
        <w:t>Clause</w:t>
      </w:r>
    </w:p>
    <w:p w:rsidR="008215AB" w:rsidRDefault="006513FA">
      <w:pPr>
        <w:pStyle w:val="BodyText"/>
        <w:spacing w:before="1" w:line="480" w:lineRule="auto"/>
        <w:ind w:left="220" w:right="342"/>
        <w:jc w:val="both"/>
      </w:pPr>
      <w:r>
        <w:t>14.2 of the Bid Document. Thus, the presence and hearing of other bidders was not necessary.</w:t>
      </w:r>
    </w:p>
    <w:p w:rsidR="008215AB" w:rsidRDefault="008215AB">
      <w:pPr>
        <w:pStyle w:val="BodyText"/>
      </w:pPr>
    </w:p>
    <w:p w:rsidR="008215AB" w:rsidRDefault="006513FA">
      <w:pPr>
        <w:pStyle w:val="ListParagraph"/>
        <w:numPr>
          <w:ilvl w:val="0"/>
          <w:numId w:val="4"/>
        </w:numPr>
        <w:tabs>
          <w:tab w:val="left" w:pos="941"/>
        </w:tabs>
        <w:spacing w:line="480" w:lineRule="auto"/>
        <w:ind w:right="341" w:firstLine="0"/>
        <w:jc w:val="both"/>
        <w:rPr>
          <w:sz w:val="25"/>
        </w:rPr>
      </w:pPr>
      <w:r>
        <w:rPr>
          <w:sz w:val="25"/>
        </w:rPr>
        <w:t>For the above reasons, we disagree with the opinion</w:t>
      </w:r>
      <w:r>
        <w:rPr>
          <w:sz w:val="25"/>
        </w:rPr>
        <w:t xml:space="preserve"> of the Chairperson and concur with the view which was taken by the Member Technical (Petroleum and Natural Gas) to dismiss the appeals. The Appeals are accordingly</w:t>
      </w:r>
      <w:r>
        <w:rPr>
          <w:spacing w:val="-2"/>
          <w:sz w:val="25"/>
        </w:rPr>
        <w:t xml:space="preserve"> </w:t>
      </w:r>
      <w:r>
        <w:rPr>
          <w:sz w:val="25"/>
        </w:rPr>
        <w:t>dismissed.</w:t>
      </w:r>
    </w:p>
    <w:p w:rsidR="008215AB" w:rsidRDefault="008215AB">
      <w:pPr>
        <w:spacing w:line="480" w:lineRule="auto"/>
        <w:jc w:val="both"/>
        <w:rPr>
          <w:sz w:val="25"/>
        </w:rPr>
        <w:sectPr w:rsidR="008215AB">
          <w:pgSz w:w="11910" w:h="16840"/>
          <w:pgMar w:top="1340" w:right="1100" w:bottom="1220" w:left="1220" w:header="0" w:footer="1034" w:gutter="0"/>
          <w:cols w:space="720"/>
        </w:sectPr>
      </w:pPr>
    </w:p>
    <w:p w:rsidR="008215AB" w:rsidRDefault="006513FA">
      <w:pPr>
        <w:pStyle w:val="BodyText"/>
        <w:spacing w:before="78" w:line="480" w:lineRule="auto"/>
        <w:ind w:left="220" w:right="364"/>
      </w:pPr>
      <w:r>
        <w:t>Transferred Cases Nos 27 of 2019 and 26 of 2019 are disposed o</w:t>
      </w:r>
      <w:r>
        <w:t>f. There shall no order as to</w:t>
      </w:r>
      <w:r>
        <w:rPr>
          <w:spacing w:val="-1"/>
        </w:rPr>
        <w:t xml:space="preserve"> </w:t>
      </w:r>
      <w:r>
        <w:t>costs.</w:t>
      </w:r>
    </w:p>
    <w:p w:rsidR="008215AB" w:rsidRDefault="008215AB">
      <w:pPr>
        <w:pStyle w:val="BodyText"/>
      </w:pPr>
    </w:p>
    <w:p w:rsidR="008215AB" w:rsidRDefault="006513FA">
      <w:pPr>
        <w:pStyle w:val="ListParagraph"/>
        <w:numPr>
          <w:ilvl w:val="0"/>
          <w:numId w:val="4"/>
        </w:numPr>
        <w:tabs>
          <w:tab w:val="left" w:pos="940"/>
          <w:tab w:val="left" w:pos="941"/>
        </w:tabs>
        <w:ind w:left="940" w:right="0" w:hanging="721"/>
        <w:rPr>
          <w:sz w:val="25"/>
        </w:rPr>
      </w:pPr>
      <w:r>
        <w:rPr>
          <w:sz w:val="25"/>
        </w:rPr>
        <w:t>Pending application(s), if any, shall stand disposed</w:t>
      </w:r>
      <w:r>
        <w:rPr>
          <w:spacing w:val="-6"/>
          <w:sz w:val="25"/>
        </w:rPr>
        <w:t xml:space="preserve"> </w:t>
      </w:r>
      <w:r>
        <w:rPr>
          <w:sz w:val="25"/>
        </w:rPr>
        <w:t>of.</w:t>
      </w:r>
    </w:p>
    <w:p w:rsidR="008215AB" w:rsidRDefault="008215AB">
      <w:pPr>
        <w:pStyle w:val="BodyText"/>
        <w:rPr>
          <w:sz w:val="28"/>
        </w:rPr>
      </w:pPr>
    </w:p>
    <w:p w:rsidR="008215AB" w:rsidRDefault="008215AB">
      <w:pPr>
        <w:pStyle w:val="BodyText"/>
        <w:rPr>
          <w:sz w:val="28"/>
        </w:rPr>
      </w:pPr>
    </w:p>
    <w:p w:rsidR="008215AB" w:rsidRDefault="008215AB">
      <w:pPr>
        <w:pStyle w:val="BodyText"/>
        <w:rPr>
          <w:sz w:val="28"/>
        </w:rPr>
      </w:pPr>
    </w:p>
    <w:p w:rsidR="008215AB" w:rsidRDefault="008215AB">
      <w:pPr>
        <w:pStyle w:val="BodyText"/>
        <w:rPr>
          <w:sz w:val="28"/>
        </w:rPr>
      </w:pPr>
    </w:p>
    <w:p w:rsidR="008215AB" w:rsidRDefault="008215AB">
      <w:pPr>
        <w:pStyle w:val="BodyText"/>
        <w:spacing w:before="10"/>
        <w:rPr>
          <w:sz w:val="37"/>
        </w:rPr>
      </w:pPr>
    </w:p>
    <w:p w:rsidR="008215AB" w:rsidRDefault="006513FA">
      <w:pPr>
        <w:ind w:left="4507" w:right="323" w:hanging="77"/>
        <w:rPr>
          <w:b/>
        </w:rPr>
      </w:pPr>
      <w:r>
        <w:rPr>
          <w:b/>
        </w:rPr>
        <w:t>…….………….…………………...........................J. [DR DHANANJAYA Y CHANDRACHUD]</w:t>
      </w:r>
    </w:p>
    <w:p w:rsidR="008215AB" w:rsidRDefault="008215AB">
      <w:pPr>
        <w:pStyle w:val="BodyText"/>
        <w:rPr>
          <w:b/>
          <w:sz w:val="24"/>
        </w:rPr>
      </w:pPr>
    </w:p>
    <w:p w:rsidR="008215AB" w:rsidRDefault="008215AB">
      <w:pPr>
        <w:pStyle w:val="BodyText"/>
        <w:rPr>
          <w:b/>
          <w:sz w:val="24"/>
        </w:rPr>
      </w:pPr>
    </w:p>
    <w:p w:rsidR="008215AB" w:rsidRDefault="008215AB">
      <w:pPr>
        <w:pStyle w:val="BodyText"/>
        <w:rPr>
          <w:b/>
          <w:sz w:val="24"/>
        </w:rPr>
      </w:pPr>
    </w:p>
    <w:p w:rsidR="008215AB" w:rsidRDefault="006513FA">
      <w:pPr>
        <w:spacing w:before="185"/>
        <w:ind w:left="4649" w:right="323" w:hanging="96"/>
        <w:rPr>
          <w:b/>
        </w:rPr>
      </w:pPr>
      <w:r>
        <w:rPr>
          <w:b/>
        </w:rPr>
        <w:t>……..…..…..…....…........……………….…........J. [HEMANT GUPTA]</w:t>
      </w:r>
    </w:p>
    <w:p w:rsidR="008215AB" w:rsidRDefault="008215AB">
      <w:pPr>
        <w:pStyle w:val="BodyText"/>
        <w:rPr>
          <w:b/>
          <w:sz w:val="24"/>
        </w:rPr>
      </w:pPr>
    </w:p>
    <w:p w:rsidR="008215AB" w:rsidRDefault="008215AB">
      <w:pPr>
        <w:pStyle w:val="BodyText"/>
        <w:spacing w:before="10"/>
        <w:rPr>
          <w:b/>
          <w:sz w:val="19"/>
        </w:rPr>
      </w:pPr>
    </w:p>
    <w:p w:rsidR="008215AB" w:rsidRDefault="006513FA">
      <w:pPr>
        <w:ind w:left="220" w:right="7429"/>
        <w:rPr>
          <w:b/>
        </w:rPr>
      </w:pPr>
      <w:r>
        <w:rPr>
          <w:b/>
        </w:rPr>
        <w:t>New Delhi; February 17, 2020.</w:t>
      </w:r>
    </w:p>
    <w:sectPr w:rsidR="008215AB" w:rsidSect="008215AB">
      <w:pgSz w:w="11910" w:h="16840"/>
      <w:pgMar w:top="1340" w:right="1100" w:bottom="1220" w:left="1220" w:header="0" w:footer="10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3FA" w:rsidRDefault="006513FA" w:rsidP="008215AB">
      <w:r>
        <w:separator/>
      </w:r>
    </w:p>
  </w:endnote>
  <w:endnote w:type="continuationSeparator" w:id="1">
    <w:p w:rsidR="006513FA" w:rsidRDefault="006513FA" w:rsidP="008215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32" type="#_x0000_t202" style="position:absolute;margin-left:288.55pt;margin-top:779.2pt;width:18.25pt;height:14.35pt;z-index:-16732672;mso-position-horizontal-relative:page;mso-position-vertical-relative:page" filled="f" stroked="f">
          <v:textbox inset="0,0,0,0">
            <w:txbxContent>
              <w:p w:rsidR="008215AB" w:rsidRDefault="008215AB">
                <w:pPr>
                  <w:spacing w:before="13"/>
                  <w:ind w:left="60"/>
                </w:pPr>
                <w:r>
                  <w:fldChar w:fldCharType="begin"/>
                </w:r>
                <w:r w:rsidR="006513FA">
                  <w:instrText xml:space="preserve"> PAGE </w:instrText>
                </w:r>
                <w:r>
                  <w:fldChar w:fldCharType="separate"/>
                </w:r>
                <w:r w:rsidR="006513FA">
                  <w:rPr>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31" type="#_x0000_t202" style="position:absolute;margin-left:288.55pt;margin-top:779.2pt;width:18.25pt;height:14.35pt;z-index:-16732160;mso-position-horizontal-relative:page;mso-position-vertical-relative:page" filled="f" stroked="f">
          <v:textbox inset="0,0,0,0">
            <w:txbxContent>
              <w:p w:rsidR="008215AB" w:rsidRDefault="008215AB">
                <w:pPr>
                  <w:spacing w:before="13"/>
                  <w:ind w:left="60"/>
                </w:pPr>
                <w:r>
                  <w:fldChar w:fldCharType="begin"/>
                </w:r>
                <w:r w:rsidR="006513FA">
                  <w:instrText xml:space="preserve"> PAGE </w:instrText>
                </w:r>
                <w:r>
                  <w:fldChar w:fldCharType="separate"/>
                </w:r>
                <w:r w:rsidR="00132940">
                  <w:rPr>
                    <w:noProof/>
                  </w:rPr>
                  <w:t>24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30" type="#_x0000_t202" style="position:absolute;margin-left:288.55pt;margin-top:779.2pt;width:18.25pt;height:14.35pt;z-index:-16731648;mso-position-horizontal-relative:page;mso-position-vertical-relative:page" filled="f" stroked="f">
          <v:textbox inset="0,0,0,0">
            <w:txbxContent>
              <w:p w:rsidR="008215AB" w:rsidRDefault="008215AB">
                <w:pPr>
                  <w:spacing w:before="13"/>
                  <w:ind w:left="60"/>
                </w:pPr>
                <w:r>
                  <w:fldChar w:fldCharType="begin"/>
                </w:r>
                <w:r w:rsidR="006513FA">
                  <w:instrText xml:space="preserve"> PAGE </w:instrText>
                </w:r>
                <w:r>
                  <w:fldChar w:fldCharType="separate"/>
                </w:r>
                <w:r w:rsidR="00132940">
                  <w:rPr>
                    <w:noProof/>
                  </w:rPr>
                  <w:t>33</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29" type="#_x0000_t202" style="position:absolute;margin-left:69pt;margin-top:757.15pt;width:61.3pt;height:13.9pt;z-index:-16731136;mso-position-horizontal-relative:page;mso-position-vertical-relative:page" filled="f" stroked="f">
          <v:textbox inset="0,0,0,0">
            <w:txbxContent>
              <w:p w:rsidR="008215AB" w:rsidRDefault="008215AB">
                <w:pPr>
                  <w:spacing w:before="51"/>
                  <w:ind w:left="60"/>
                  <w:rPr>
                    <w:sz w:val="18"/>
                  </w:rPr>
                </w:pPr>
                <w:r>
                  <w:fldChar w:fldCharType="begin"/>
                </w:r>
                <w:r w:rsidR="006513FA">
                  <w:rPr>
                    <w:sz w:val="18"/>
                    <w:vertAlign w:val="superscript"/>
                  </w:rPr>
                  <w:instrText xml:space="preserve"> PAGE </w:instrText>
                </w:r>
                <w:r>
                  <w:fldChar w:fldCharType="separate"/>
                </w:r>
                <w:r w:rsidR="00132940">
                  <w:rPr>
                    <w:noProof/>
                    <w:sz w:val="18"/>
                    <w:vertAlign w:val="superscript"/>
                  </w:rPr>
                  <w:t>15</w:t>
                </w:r>
                <w:r>
                  <w:fldChar w:fldCharType="end"/>
                </w:r>
                <w:r w:rsidR="006513FA">
                  <w:rPr>
                    <w:sz w:val="18"/>
                  </w:rPr>
                  <w:t xml:space="preserve"> 7 April 2014</w:t>
                </w:r>
              </w:p>
            </w:txbxContent>
          </v:textbox>
          <w10:wrap anchorx="page" anchory="page"/>
        </v:shape>
      </w:pict>
    </w:r>
    <w:r w:rsidRPr="008215AB">
      <w:pict>
        <v:shape id="_x0000_s1028" type="#_x0000_t202" style="position:absolute;margin-left:290.55pt;margin-top:779.2pt;width:14.25pt;height:14.35pt;z-index:-16730624;mso-position-horizontal-relative:page;mso-position-vertical-relative:page" filled="f" stroked="f">
          <v:textbox inset="0,0,0,0">
            <w:txbxContent>
              <w:p w:rsidR="008215AB" w:rsidRDefault="006513FA">
                <w:pPr>
                  <w:spacing w:before="13"/>
                  <w:ind w:left="20"/>
                </w:pPr>
                <w:r>
                  <w:t>34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27" type="#_x0000_t202" style="position:absolute;margin-left:71pt;margin-top:757.15pt;width:59.3pt;height:13.9pt;z-index:-16730112;mso-position-horizontal-relative:page;mso-position-vertical-relative:page" filled="f" stroked="f">
          <v:textbox inset="0,0,0,0">
            <w:txbxContent>
              <w:p w:rsidR="008215AB" w:rsidRDefault="006513FA">
                <w:pPr>
                  <w:spacing w:before="51"/>
                  <w:ind w:left="20"/>
                  <w:rPr>
                    <w:sz w:val="18"/>
                  </w:rPr>
                </w:pPr>
                <w:r>
                  <w:rPr>
                    <w:sz w:val="18"/>
                    <w:vertAlign w:val="superscript"/>
                  </w:rPr>
                  <w:t>16</w:t>
                </w:r>
                <w:r>
                  <w:rPr>
                    <w:sz w:val="18"/>
                  </w:rPr>
                  <w:t xml:space="preserve"> 6 April 2018</w:t>
                </w:r>
              </w:p>
            </w:txbxContent>
          </v:textbox>
          <w10:wrap anchorx="page" anchory="page"/>
        </v:shape>
      </w:pict>
    </w:r>
    <w:r w:rsidRPr="008215AB">
      <w:pict>
        <v:shape id="_x0000_s1026" type="#_x0000_t202" style="position:absolute;margin-left:290.55pt;margin-top:779.2pt;width:14.25pt;height:14.35pt;z-index:-16729600;mso-position-horizontal-relative:page;mso-position-vertical-relative:page" filled="f" stroked="f">
          <v:textbox inset="0,0,0,0">
            <w:txbxContent>
              <w:p w:rsidR="008215AB" w:rsidRDefault="006513FA">
                <w:pPr>
                  <w:spacing w:before="13"/>
                  <w:ind w:left="20"/>
                </w:pPr>
                <w:r>
                  <w:t>35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AB" w:rsidRDefault="008215AB">
    <w:pPr>
      <w:pStyle w:val="BodyText"/>
      <w:spacing w:line="14" w:lineRule="auto"/>
      <w:rPr>
        <w:sz w:val="20"/>
      </w:rPr>
    </w:pPr>
    <w:r w:rsidRPr="008215AB">
      <w:pict>
        <v:shapetype id="_x0000_t202" coordsize="21600,21600" o:spt="202" path="m,l,21600r21600,l21600,xe">
          <v:stroke joinstyle="miter"/>
          <v:path gradientshapeok="t" o:connecttype="rect"/>
        </v:shapetype>
        <v:shape id="_x0000_s1025" type="#_x0000_t202" style="position:absolute;margin-left:288.55pt;margin-top:779.2pt;width:18.25pt;height:14.35pt;z-index:-16729088;mso-position-horizontal-relative:page;mso-position-vertical-relative:page" filled="f" stroked="f">
          <v:textbox inset="0,0,0,0">
            <w:txbxContent>
              <w:p w:rsidR="008215AB" w:rsidRDefault="008215AB">
                <w:pPr>
                  <w:spacing w:before="13"/>
                  <w:ind w:left="60"/>
                </w:pPr>
                <w:r>
                  <w:fldChar w:fldCharType="begin"/>
                </w:r>
                <w:r w:rsidR="006513FA">
                  <w:instrText xml:space="preserve"> PAGE </w:instrText>
                </w:r>
                <w:r>
                  <w:fldChar w:fldCharType="separate"/>
                </w:r>
                <w:r w:rsidR="00132940">
                  <w:rPr>
                    <w:noProof/>
                  </w:rPr>
                  <w:t>39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3FA" w:rsidRDefault="006513FA" w:rsidP="008215AB">
      <w:r>
        <w:separator/>
      </w:r>
    </w:p>
  </w:footnote>
  <w:footnote w:type="continuationSeparator" w:id="1">
    <w:p w:rsidR="006513FA" w:rsidRDefault="006513FA" w:rsidP="00821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79D"/>
    <w:multiLevelType w:val="hybridMultilevel"/>
    <w:tmpl w:val="62387A54"/>
    <w:lvl w:ilvl="0" w:tplc="7BBA23D0">
      <w:start w:val="26"/>
      <w:numFmt w:val="decimal"/>
      <w:lvlText w:val="%1."/>
      <w:lvlJc w:val="left"/>
      <w:pPr>
        <w:ind w:left="220" w:hanging="720"/>
        <w:jc w:val="left"/>
      </w:pPr>
      <w:rPr>
        <w:rFonts w:ascii="Arial" w:eastAsia="Arial" w:hAnsi="Arial" w:cs="Arial" w:hint="default"/>
        <w:w w:val="99"/>
        <w:sz w:val="25"/>
        <w:szCs w:val="25"/>
        <w:lang w:val="en-US" w:eastAsia="en-US" w:bidi="ar-SA"/>
      </w:rPr>
    </w:lvl>
    <w:lvl w:ilvl="1" w:tplc="3A100940">
      <w:start w:val="1"/>
      <w:numFmt w:val="lowerRoman"/>
      <w:lvlText w:val="(%2)"/>
      <w:lvlJc w:val="left"/>
      <w:pPr>
        <w:ind w:left="1660" w:hanging="720"/>
        <w:jc w:val="left"/>
      </w:pPr>
      <w:rPr>
        <w:rFonts w:ascii="Arial" w:eastAsia="Arial" w:hAnsi="Arial" w:cs="Arial" w:hint="default"/>
        <w:w w:val="99"/>
        <w:sz w:val="25"/>
        <w:szCs w:val="25"/>
        <w:lang w:val="en-US" w:eastAsia="en-US" w:bidi="ar-SA"/>
      </w:rPr>
    </w:lvl>
    <w:lvl w:ilvl="2" w:tplc="1670090A">
      <w:start w:val="1"/>
      <w:numFmt w:val="lowerLetter"/>
      <w:lvlText w:val="(%3)"/>
      <w:lvlJc w:val="left"/>
      <w:pPr>
        <w:ind w:left="2380" w:hanging="720"/>
        <w:jc w:val="left"/>
      </w:pPr>
      <w:rPr>
        <w:rFonts w:ascii="Arial" w:eastAsia="Arial" w:hAnsi="Arial" w:cs="Arial" w:hint="default"/>
        <w:w w:val="99"/>
        <w:sz w:val="25"/>
        <w:szCs w:val="25"/>
        <w:lang w:val="en-US" w:eastAsia="en-US" w:bidi="ar-SA"/>
      </w:rPr>
    </w:lvl>
    <w:lvl w:ilvl="3" w:tplc="22600EA0">
      <w:numFmt w:val="bullet"/>
      <w:lvlText w:val="•"/>
      <w:lvlJc w:val="left"/>
      <w:pPr>
        <w:ind w:left="3280" w:hanging="720"/>
      </w:pPr>
      <w:rPr>
        <w:rFonts w:hint="default"/>
        <w:lang w:val="en-US" w:eastAsia="en-US" w:bidi="ar-SA"/>
      </w:rPr>
    </w:lvl>
    <w:lvl w:ilvl="4" w:tplc="8C7632EC">
      <w:numFmt w:val="bullet"/>
      <w:lvlText w:val="•"/>
      <w:lvlJc w:val="left"/>
      <w:pPr>
        <w:ind w:left="4181" w:hanging="720"/>
      </w:pPr>
      <w:rPr>
        <w:rFonts w:hint="default"/>
        <w:lang w:val="en-US" w:eastAsia="en-US" w:bidi="ar-SA"/>
      </w:rPr>
    </w:lvl>
    <w:lvl w:ilvl="5" w:tplc="F5903DD6">
      <w:numFmt w:val="bullet"/>
      <w:lvlText w:val="•"/>
      <w:lvlJc w:val="left"/>
      <w:pPr>
        <w:ind w:left="5082" w:hanging="720"/>
      </w:pPr>
      <w:rPr>
        <w:rFonts w:hint="default"/>
        <w:lang w:val="en-US" w:eastAsia="en-US" w:bidi="ar-SA"/>
      </w:rPr>
    </w:lvl>
    <w:lvl w:ilvl="6" w:tplc="A1E2D112">
      <w:numFmt w:val="bullet"/>
      <w:lvlText w:val="•"/>
      <w:lvlJc w:val="left"/>
      <w:pPr>
        <w:ind w:left="5983" w:hanging="720"/>
      </w:pPr>
      <w:rPr>
        <w:rFonts w:hint="default"/>
        <w:lang w:val="en-US" w:eastAsia="en-US" w:bidi="ar-SA"/>
      </w:rPr>
    </w:lvl>
    <w:lvl w:ilvl="7" w:tplc="171E369A">
      <w:numFmt w:val="bullet"/>
      <w:lvlText w:val="•"/>
      <w:lvlJc w:val="left"/>
      <w:pPr>
        <w:ind w:left="6884" w:hanging="720"/>
      </w:pPr>
      <w:rPr>
        <w:rFonts w:hint="default"/>
        <w:lang w:val="en-US" w:eastAsia="en-US" w:bidi="ar-SA"/>
      </w:rPr>
    </w:lvl>
    <w:lvl w:ilvl="8" w:tplc="1C0A025E">
      <w:numFmt w:val="bullet"/>
      <w:lvlText w:val="•"/>
      <w:lvlJc w:val="left"/>
      <w:pPr>
        <w:ind w:left="7784" w:hanging="720"/>
      </w:pPr>
      <w:rPr>
        <w:rFonts w:hint="default"/>
        <w:lang w:val="en-US" w:eastAsia="en-US" w:bidi="ar-SA"/>
      </w:rPr>
    </w:lvl>
  </w:abstractNum>
  <w:abstractNum w:abstractNumId="1">
    <w:nsid w:val="1B497DCB"/>
    <w:multiLevelType w:val="hybridMultilevel"/>
    <w:tmpl w:val="659EDEC2"/>
    <w:lvl w:ilvl="0" w:tplc="65EA4BF2">
      <w:start w:val="1"/>
      <w:numFmt w:val="lowerLetter"/>
      <w:lvlText w:val="(%1)"/>
      <w:lvlJc w:val="left"/>
      <w:pPr>
        <w:ind w:left="2200" w:hanging="540"/>
        <w:jc w:val="left"/>
      </w:pPr>
      <w:rPr>
        <w:rFonts w:hint="default"/>
        <w:spacing w:val="-1"/>
        <w:w w:val="100"/>
        <w:lang w:val="en-US" w:eastAsia="en-US" w:bidi="ar-SA"/>
      </w:rPr>
    </w:lvl>
    <w:lvl w:ilvl="1" w:tplc="E12AB590">
      <w:numFmt w:val="bullet"/>
      <w:lvlText w:val="•"/>
      <w:lvlJc w:val="left"/>
      <w:pPr>
        <w:ind w:left="2938" w:hanging="540"/>
      </w:pPr>
      <w:rPr>
        <w:rFonts w:hint="default"/>
        <w:lang w:val="en-US" w:eastAsia="en-US" w:bidi="ar-SA"/>
      </w:rPr>
    </w:lvl>
    <w:lvl w:ilvl="2" w:tplc="E4E26404">
      <w:numFmt w:val="bullet"/>
      <w:lvlText w:val="•"/>
      <w:lvlJc w:val="left"/>
      <w:pPr>
        <w:ind w:left="3677" w:hanging="540"/>
      </w:pPr>
      <w:rPr>
        <w:rFonts w:hint="default"/>
        <w:lang w:val="en-US" w:eastAsia="en-US" w:bidi="ar-SA"/>
      </w:rPr>
    </w:lvl>
    <w:lvl w:ilvl="3" w:tplc="4852D4EA">
      <w:numFmt w:val="bullet"/>
      <w:lvlText w:val="•"/>
      <w:lvlJc w:val="left"/>
      <w:pPr>
        <w:ind w:left="4415" w:hanging="540"/>
      </w:pPr>
      <w:rPr>
        <w:rFonts w:hint="default"/>
        <w:lang w:val="en-US" w:eastAsia="en-US" w:bidi="ar-SA"/>
      </w:rPr>
    </w:lvl>
    <w:lvl w:ilvl="4" w:tplc="C33EADE0">
      <w:numFmt w:val="bullet"/>
      <w:lvlText w:val="•"/>
      <w:lvlJc w:val="left"/>
      <w:pPr>
        <w:ind w:left="5154" w:hanging="540"/>
      </w:pPr>
      <w:rPr>
        <w:rFonts w:hint="default"/>
        <w:lang w:val="en-US" w:eastAsia="en-US" w:bidi="ar-SA"/>
      </w:rPr>
    </w:lvl>
    <w:lvl w:ilvl="5" w:tplc="03A4F54C">
      <w:numFmt w:val="bullet"/>
      <w:lvlText w:val="•"/>
      <w:lvlJc w:val="left"/>
      <w:pPr>
        <w:ind w:left="5893" w:hanging="540"/>
      </w:pPr>
      <w:rPr>
        <w:rFonts w:hint="default"/>
        <w:lang w:val="en-US" w:eastAsia="en-US" w:bidi="ar-SA"/>
      </w:rPr>
    </w:lvl>
    <w:lvl w:ilvl="6" w:tplc="EE5CE518">
      <w:numFmt w:val="bullet"/>
      <w:lvlText w:val="•"/>
      <w:lvlJc w:val="left"/>
      <w:pPr>
        <w:ind w:left="6631" w:hanging="540"/>
      </w:pPr>
      <w:rPr>
        <w:rFonts w:hint="default"/>
        <w:lang w:val="en-US" w:eastAsia="en-US" w:bidi="ar-SA"/>
      </w:rPr>
    </w:lvl>
    <w:lvl w:ilvl="7" w:tplc="831403B4">
      <w:numFmt w:val="bullet"/>
      <w:lvlText w:val="•"/>
      <w:lvlJc w:val="left"/>
      <w:pPr>
        <w:ind w:left="7370" w:hanging="540"/>
      </w:pPr>
      <w:rPr>
        <w:rFonts w:hint="default"/>
        <w:lang w:val="en-US" w:eastAsia="en-US" w:bidi="ar-SA"/>
      </w:rPr>
    </w:lvl>
    <w:lvl w:ilvl="8" w:tplc="66CABC3A">
      <w:numFmt w:val="bullet"/>
      <w:lvlText w:val="•"/>
      <w:lvlJc w:val="left"/>
      <w:pPr>
        <w:ind w:left="8109" w:hanging="540"/>
      </w:pPr>
      <w:rPr>
        <w:rFonts w:hint="default"/>
        <w:lang w:val="en-US" w:eastAsia="en-US" w:bidi="ar-SA"/>
      </w:rPr>
    </w:lvl>
  </w:abstractNum>
  <w:abstractNum w:abstractNumId="2">
    <w:nsid w:val="34334CE8"/>
    <w:multiLevelType w:val="hybridMultilevel"/>
    <w:tmpl w:val="5B0A0D92"/>
    <w:lvl w:ilvl="0" w:tplc="DA9C2C58">
      <w:start w:val="1"/>
      <w:numFmt w:val="lowerRoman"/>
      <w:lvlText w:val="(%1)"/>
      <w:lvlJc w:val="left"/>
      <w:pPr>
        <w:ind w:left="1660" w:hanging="720"/>
        <w:jc w:val="left"/>
      </w:pPr>
      <w:rPr>
        <w:rFonts w:ascii="Arial" w:eastAsia="Arial" w:hAnsi="Arial" w:cs="Arial" w:hint="default"/>
        <w:w w:val="99"/>
        <w:sz w:val="25"/>
        <w:szCs w:val="25"/>
        <w:lang w:val="en-US" w:eastAsia="en-US" w:bidi="ar-SA"/>
      </w:rPr>
    </w:lvl>
    <w:lvl w:ilvl="1" w:tplc="B1CA1F8A">
      <w:numFmt w:val="bullet"/>
      <w:lvlText w:val="•"/>
      <w:lvlJc w:val="left"/>
      <w:pPr>
        <w:ind w:left="2452" w:hanging="720"/>
      </w:pPr>
      <w:rPr>
        <w:rFonts w:hint="default"/>
        <w:lang w:val="en-US" w:eastAsia="en-US" w:bidi="ar-SA"/>
      </w:rPr>
    </w:lvl>
    <w:lvl w:ilvl="2" w:tplc="5522512C">
      <w:numFmt w:val="bullet"/>
      <w:lvlText w:val="•"/>
      <w:lvlJc w:val="left"/>
      <w:pPr>
        <w:ind w:left="3245" w:hanging="720"/>
      </w:pPr>
      <w:rPr>
        <w:rFonts w:hint="default"/>
        <w:lang w:val="en-US" w:eastAsia="en-US" w:bidi="ar-SA"/>
      </w:rPr>
    </w:lvl>
    <w:lvl w:ilvl="3" w:tplc="5860D88E">
      <w:numFmt w:val="bullet"/>
      <w:lvlText w:val="•"/>
      <w:lvlJc w:val="left"/>
      <w:pPr>
        <w:ind w:left="4037" w:hanging="720"/>
      </w:pPr>
      <w:rPr>
        <w:rFonts w:hint="default"/>
        <w:lang w:val="en-US" w:eastAsia="en-US" w:bidi="ar-SA"/>
      </w:rPr>
    </w:lvl>
    <w:lvl w:ilvl="4" w:tplc="7BA4D150">
      <w:numFmt w:val="bullet"/>
      <w:lvlText w:val="•"/>
      <w:lvlJc w:val="left"/>
      <w:pPr>
        <w:ind w:left="4830" w:hanging="720"/>
      </w:pPr>
      <w:rPr>
        <w:rFonts w:hint="default"/>
        <w:lang w:val="en-US" w:eastAsia="en-US" w:bidi="ar-SA"/>
      </w:rPr>
    </w:lvl>
    <w:lvl w:ilvl="5" w:tplc="6950BBEC">
      <w:numFmt w:val="bullet"/>
      <w:lvlText w:val="•"/>
      <w:lvlJc w:val="left"/>
      <w:pPr>
        <w:ind w:left="5623" w:hanging="720"/>
      </w:pPr>
      <w:rPr>
        <w:rFonts w:hint="default"/>
        <w:lang w:val="en-US" w:eastAsia="en-US" w:bidi="ar-SA"/>
      </w:rPr>
    </w:lvl>
    <w:lvl w:ilvl="6" w:tplc="E2B0342C">
      <w:numFmt w:val="bullet"/>
      <w:lvlText w:val="•"/>
      <w:lvlJc w:val="left"/>
      <w:pPr>
        <w:ind w:left="6415" w:hanging="720"/>
      </w:pPr>
      <w:rPr>
        <w:rFonts w:hint="default"/>
        <w:lang w:val="en-US" w:eastAsia="en-US" w:bidi="ar-SA"/>
      </w:rPr>
    </w:lvl>
    <w:lvl w:ilvl="7" w:tplc="DAA8F08C">
      <w:numFmt w:val="bullet"/>
      <w:lvlText w:val="•"/>
      <w:lvlJc w:val="left"/>
      <w:pPr>
        <w:ind w:left="7208" w:hanging="720"/>
      </w:pPr>
      <w:rPr>
        <w:rFonts w:hint="default"/>
        <w:lang w:val="en-US" w:eastAsia="en-US" w:bidi="ar-SA"/>
      </w:rPr>
    </w:lvl>
    <w:lvl w:ilvl="8" w:tplc="BDFE3DEA">
      <w:numFmt w:val="bullet"/>
      <w:lvlText w:val="•"/>
      <w:lvlJc w:val="left"/>
      <w:pPr>
        <w:ind w:left="8001" w:hanging="720"/>
      </w:pPr>
      <w:rPr>
        <w:rFonts w:hint="default"/>
        <w:lang w:val="en-US" w:eastAsia="en-US" w:bidi="ar-SA"/>
      </w:rPr>
    </w:lvl>
  </w:abstractNum>
  <w:abstractNum w:abstractNumId="3">
    <w:nsid w:val="397D2575"/>
    <w:multiLevelType w:val="hybridMultilevel"/>
    <w:tmpl w:val="88324A4A"/>
    <w:lvl w:ilvl="0" w:tplc="8DFECD04">
      <w:start w:val="1"/>
      <w:numFmt w:val="decimal"/>
      <w:lvlText w:val="%1"/>
      <w:lvlJc w:val="left"/>
      <w:pPr>
        <w:ind w:left="304" w:hanging="197"/>
        <w:jc w:val="left"/>
      </w:pPr>
      <w:rPr>
        <w:rFonts w:ascii="Arial" w:eastAsia="Arial" w:hAnsi="Arial" w:cs="Arial" w:hint="default"/>
        <w:w w:val="100"/>
        <w:sz w:val="21"/>
        <w:szCs w:val="21"/>
        <w:lang w:val="en-US" w:eastAsia="en-US" w:bidi="ar-SA"/>
      </w:rPr>
    </w:lvl>
    <w:lvl w:ilvl="1" w:tplc="BE7ADC26">
      <w:numFmt w:val="bullet"/>
      <w:lvlText w:val="•"/>
      <w:lvlJc w:val="left"/>
      <w:pPr>
        <w:ind w:left="584" w:hanging="197"/>
      </w:pPr>
      <w:rPr>
        <w:rFonts w:hint="default"/>
        <w:lang w:val="en-US" w:eastAsia="en-US" w:bidi="ar-SA"/>
      </w:rPr>
    </w:lvl>
    <w:lvl w:ilvl="2" w:tplc="578C319E">
      <w:numFmt w:val="bullet"/>
      <w:lvlText w:val="•"/>
      <w:lvlJc w:val="left"/>
      <w:pPr>
        <w:ind w:left="868" w:hanging="197"/>
      </w:pPr>
      <w:rPr>
        <w:rFonts w:hint="default"/>
        <w:lang w:val="en-US" w:eastAsia="en-US" w:bidi="ar-SA"/>
      </w:rPr>
    </w:lvl>
    <w:lvl w:ilvl="3" w:tplc="C7EAD9D6">
      <w:numFmt w:val="bullet"/>
      <w:lvlText w:val="•"/>
      <w:lvlJc w:val="left"/>
      <w:pPr>
        <w:ind w:left="1152" w:hanging="197"/>
      </w:pPr>
      <w:rPr>
        <w:rFonts w:hint="default"/>
        <w:lang w:val="en-US" w:eastAsia="en-US" w:bidi="ar-SA"/>
      </w:rPr>
    </w:lvl>
    <w:lvl w:ilvl="4" w:tplc="81D2E99C">
      <w:numFmt w:val="bullet"/>
      <w:lvlText w:val="•"/>
      <w:lvlJc w:val="left"/>
      <w:pPr>
        <w:ind w:left="1436" w:hanging="197"/>
      </w:pPr>
      <w:rPr>
        <w:rFonts w:hint="default"/>
        <w:lang w:val="en-US" w:eastAsia="en-US" w:bidi="ar-SA"/>
      </w:rPr>
    </w:lvl>
    <w:lvl w:ilvl="5" w:tplc="CBE8FBE2">
      <w:numFmt w:val="bullet"/>
      <w:lvlText w:val="•"/>
      <w:lvlJc w:val="left"/>
      <w:pPr>
        <w:ind w:left="1721" w:hanging="197"/>
      </w:pPr>
      <w:rPr>
        <w:rFonts w:hint="default"/>
        <w:lang w:val="en-US" w:eastAsia="en-US" w:bidi="ar-SA"/>
      </w:rPr>
    </w:lvl>
    <w:lvl w:ilvl="6" w:tplc="D17E63FC">
      <w:numFmt w:val="bullet"/>
      <w:lvlText w:val="•"/>
      <w:lvlJc w:val="left"/>
      <w:pPr>
        <w:ind w:left="2005" w:hanging="197"/>
      </w:pPr>
      <w:rPr>
        <w:rFonts w:hint="default"/>
        <w:lang w:val="en-US" w:eastAsia="en-US" w:bidi="ar-SA"/>
      </w:rPr>
    </w:lvl>
    <w:lvl w:ilvl="7" w:tplc="40E863D6">
      <w:numFmt w:val="bullet"/>
      <w:lvlText w:val="•"/>
      <w:lvlJc w:val="left"/>
      <w:pPr>
        <w:ind w:left="2289" w:hanging="197"/>
      </w:pPr>
      <w:rPr>
        <w:rFonts w:hint="default"/>
        <w:lang w:val="en-US" w:eastAsia="en-US" w:bidi="ar-SA"/>
      </w:rPr>
    </w:lvl>
    <w:lvl w:ilvl="8" w:tplc="977AB860">
      <w:numFmt w:val="bullet"/>
      <w:lvlText w:val="•"/>
      <w:lvlJc w:val="left"/>
      <w:pPr>
        <w:ind w:left="2573" w:hanging="197"/>
      </w:pPr>
      <w:rPr>
        <w:rFonts w:hint="default"/>
        <w:lang w:val="en-US" w:eastAsia="en-US" w:bidi="ar-SA"/>
      </w:rPr>
    </w:lvl>
  </w:abstractNum>
  <w:abstractNum w:abstractNumId="4">
    <w:nsid w:val="3D2F7930"/>
    <w:multiLevelType w:val="hybridMultilevel"/>
    <w:tmpl w:val="9D38F932"/>
    <w:lvl w:ilvl="0" w:tplc="AC58397E">
      <w:start w:val="1"/>
      <w:numFmt w:val="lowerRoman"/>
      <w:lvlText w:val="(%1)"/>
      <w:lvlJc w:val="left"/>
      <w:pPr>
        <w:ind w:left="1660" w:hanging="720"/>
        <w:jc w:val="left"/>
      </w:pPr>
      <w:rPr>
        <w:rFonts w:ascii="Arial" w:eastAsia="Arial" w:hAnsi="Arial" w:cs="Arial" w:hint="default"/>
        <w:w w:val="99"/>
        <w:sz w:val="25"/>
        <w:szCs w:val="25"/>
        <w:lang w:val="en-US" w:eastAsia="en-US" w:bidi="ar-SA"/>
      </w:rPr>
    </w:lvl>
    <w:lvl w:ilvl="1" w:tplc="F4F28392">
      <w:numFmt w:val="bullet"/>
      <w:lvlText w:val="•"/>
      <w:lvlJc w:val="left"/>
      <w:pPr>
        <w:ind w:left="2452" w:hanging="720"/>
      </w:pPr>
      <w:rPr>
        <w:rFonts w:hint="default"/>
        <w:lang w:val="en-US" w:eastAsia="en-US" w:bidi="ar-SA"/>
      </w:rPr>
    </w:lvl>
    <w:lvl w:ilvl="2" w:tplc="ED4C1104">
      <w:numFmt w:val="bullet"/>
      <w:lvlText w:val="•"/>
      <w:lvlJc w:val="left"/>
      <w:pPr>
        <w:ind w:left="3245" w:hanging="720"/>
      </w:pPr>
      <w:rPr>
        <w:rFonts w:hint="default"/>
        <w:lang w:val="en-US" w:eastAsia="en-US" w:bidi="ar-SA"/>
      </w:rPr>
    </w:lvl>
    <w:lvl w:ilvl="3" w:tplc="133433DA">
      <w:numFmt w:val="bullet"/>
      <w:lvlText w:val="•"/>
      <w:lvlJc w:val="left"/>
      <w:pPr>
        <w:ind w:left="4037" w:hanging="720"/>
      </w:pPr>
      <w:rPr>
        <w:rFonts w:hint="default"/>
        <w:lang w:val="en-US" w:eastAsia="en-US" w:bidi="ar-SA"/>
      </w:rPr>
    </w:lvl>
    <w:lvl w:ilvl="4" w:tplc="A184CA8A">
      <w:numFmt w:val="bullet"/>
      <w:lvlText w:val="•"/>
      <w:lvlJc w:val="left"/>
      <w:pPr>
        <w:ind w:left="4830" w:hanging="720"/>
      </w:pPr>
      <w:rPr>
        <w:rFonts w:hint="default"/>
        <w:lang w:val="en-US" w:eastAsia="en-US" w:bidi="ar-SA"/>
      </w:rPr>
    </w:lvl>
    <w:lvl w:ilvl="5" w:tplc="8A22A4EE">
      <w:numFmt w:val="bullet"/>
      <w:lvlText w:val="•"/>
      <w:lvlJc w:val="left"/>
      <w:pPr>
        <w:ind w:left="5623" w:hanging="720"/>
      </w:pPr>
      <w:rPr>
        <w:rFonts w:hint="default"/>
        <w:lang w:val="en-US" w:eastAsia="en-US" w:bidi="ar-SA"/>
      </w:rPr>
    </w:lvl>
    <w:lvl w:ilvl="6" w:tplc="B2784216">
      <w:numFmt w:val="bullet"/>
      <w:lvlText w:val="•"/>
      <w:lvlJc w:val="left"/>
      <w:pPr>
        <w:ind w:left="6415" w:hanging="720"/>
      </w:pPr>
      <w:rPr>
        <w:rFonts w:hint="default"/>
        <w:lang w:val="en-US" w:eastAsia="en-US" w:bidi="ar-SA"/>
      </w:rPr>
    </w:lvl>
    <w:lvl w:ilvl="7" w:tplc="91025F9A">
      <w:numFmt w:val="bullet"/>
      <w:lvlText w:val="•"/>
      <w:lvlJc w:val="left"/>
      <w:pPr>
        <w:ind w:left="7208" w:hanging="720"/>
      </w:pPr>
      <w:rPr>
        <w:rFonts w:hint="default"/>
        <w:lang w:val="en-US" w:eastAsia="en-US" w:bidi="ar-SA"/>
      </w:rPr>
    </w:lvl>
    <w:lvl w:ilvl="8" w:tplc="F7226F76">
      <w:numFmt w:val="bullet"/>
      <w:lvlText w:val="•"/>
      <w:lvlJc w:val="left"/>
      <w:pPr>
        <w:ind w:left="8001" w:hanging="720"/>
      </w:pPr>
      <w:rPr>
        <w:rFonts w:hint="default"/>
        <w:lang w:val="en-US" w:eastAsia="en-US" w:bidi="ar-SA"/>
      </w:rPr>
    </w:lvl>
  </w:abstractNum>
  <w:abstractNum w:abstractNumId="5">
    <w:nsid w:val="65DB489E"/>
    <w:multiLevelType w:val="hybridMultilevel"/>
    <w:tmpl w:val="2E362392"/>
    <w:lvl w:ilvl="0" w:tplc="0D2CC560">
      <w:start w:val="1"/>
      <w:numFmt w:val="upperLetter"/>
      <w:lvlText w:val="(%1)"/>
      <w:lvlJc w:val="left"/>
      <w:pPr>
        <w:ind w:left="940" w:hanging="720"/>
        <w:jc w:val="left"/>
      </w:pPr>
      <w:rPr>
        <w:rFonts w:ascii="Arial" w:eastAsia="Arial" w:hAnsi="Arial" w:cs="Arial" w:hint="default"/>
        <w:b/>
        <w:bCs/>
        <w:spacing w:val="-8"/>
        <w:w w:val="99"/>
        <w:sz w:val="25"/>
        <w:szCs w:val="25"/>
        <w:lang w:val="en-US" w:eastAsia="en-US" w:bidi="ar-SA"/>
      </w:rPr>
    </w:lvl>
    <w:lvl w:ilvl="1" w:tplc="772E9088">
      <w:start w:val="1"/>
      <w:numFmt w:val="lowerRoman"/>
      <w:lvlText w:val="(%2)"/>
      <w:lvlJc w:val="left"/>
      <w:pPr>
        <w:ind w:left="1660" w:hanging="720"/>
        <w:jc w:val="left"/>
      </w:pPr>
      <w:rPr>
        <w:rFonts w:ascii="Arial" w:eastAsia="Arial" w:hAnsi="Arial" w:cs="Arial" w:hint="default"/>
        <w:w w:val="99"/>
        <w:sz w:val="25"/>
        <w:szCs w:val="25"/>
        <w:lang w:val="en-US" w:eastAsia="en-US" w:bidi="ar-SA"/>
      </w:rPr>
    </w:lvl>
    <w:lvl w:ilvl="2" w:tplc="2B1C2E80">
      <w:numFmt w:val="bullet"/>
      <w:lvlText w:val="•"/>
      <w:lvlJc w:val="left"/>
      <w:pPr>
        <w:ind w:left="2060" w:hanging="720"/>
      </w:pPr>
      <w:rPr>
        <w:rFonts w:hint="default"/>
        <w:lang w:val="en-US" w:eastAsia="en-US" w:bidi="ar-SA"/>
      </w:rPr>
    </w:lvl>
    <w:lvl w:ilvl="3" w:tplc="32FE9DC2">
      <w:numFmt w:val="bullet"/>
      <w:lvlText w:val="•"/>
      <w:lvlJc w:val="left"/>
      <w:pPr>
        <w:ind w:left="3000" w:hanging="720"/>
      </w:pPr>
      <w:rPr>
        <w:rFonts w:hint="default"/>
        <w:lang w:val="en-US" w:eastAsia="en-US" w:bidi="ar-SA"/>
      </w:rPr>
    </w:lvl>
    <w:lvl w:ilvl="4" w:tplc="BDB441E0">
      <w:numFmt w:val="bullet"/>
      <w:lvlText w:val="•"/>
      <w:lvlJc w:val="left"/>
      <w:pPr>
        <w:ind w:left="3941" w:hanging="720"/>
      </w:pPr>
      <w:rPr>
        <w:rFonts w:hint="default"/>
        <w:lang w:val="en-US" w:eastAsia="en-US" w:bidi="ar-SA"/>
      </w:rPr>
    </w:lvl>
    <w:lvl w:ilvl="5" w:tplc="91E4523C">
      <w:numFmt w:val="bullet"/>
      <w:lvlText w:val="•"/>
      <w:lvlJc w:val="left"/>
      <w:pPr>
        <w:ind w:left="4882" w:hanging="720"/>
      </w:pPr>
      <w:rPr>
        <w:rFonts w:hint="default"/>
        <w:lang w:val="en-US" w:eastAsia="en-US" w:bidi="ar-SA"/>
      </w:rPr>
    </w:lvl>
    <w:lvl w:ilvl="6" w:tplc="36B416FA">
      <w:numFmt w:val="bullet"/>
      <w:lvlText w:val="•"/>
      <w:lvlJc w:val="left"/>
      <w:pPr>
        <w:ind w:left="5823" w:hanging="720"/>
      </w:pPr>
      <w:rPr>
        <w:rFonts w:hint="default"/>
        <w:lang w:val="en-US" w:eastAsia="en-US" w:bidi="ar-SA"/>
      </w:rPr>
    </w:lvl>
    <w:lvl w:ilvl="7" w:tplc="EDE0384C">
      <w:numFmt w:val="bullet"/>
      <w:lvlText w:val="•"/>
      <w:lvlJc w:val="left"/>
      <w:pPr>
        <w:ind w:left="6764" w:hanging="720"/>
      </w:pPr>
      <w:rPr>
        <w:rFonts w:hint="default"/>
        <w:lang w:val="en-US" w:eastAsia="en-US" w:bidi="ar-SA"/>
      </w:rPr>
    </w:lvl>
    <w:lvl w:ilvl="8" w:tplc="038A3882">
      <w:numFmt w:val="bullet"/>
      <w:lvlText w:val="•"/>
      <w:lvlJc w:val="left"/>
      <w:pPr>
        <w:ind w:left="7704" w:hanging="720"/>
      </w:pPr>
      <w:rPr>
        <w:rFonts w:hint="default"/>
        <w:lang w:val="en-US" w:eastAsia="en-US" w:bidi="ar-SA"/>
      </w:rPr>
    </w:lvl>
  </w:abstractNum>
  <w:abstractNum w:abstractNumId="6">
    <w:nsid w:val="6F874B36"/>
    <w:multiLevelType w:val="hybridMultilevel"/>
    <w:tmpl w:val="2A985F50"/>
    <w:lvl w:ilvl="0" w:tplc="F6968866">
      <w:start w:val="1"/>
      <w:numFmt w:val="lowerLetter"/>
      <w:lvlText w:val="(%1)"/>
      <w:lvlJc w:val="left"/>
      <w:pPr>
        <w:ind w:left="1940" w:hanging="346"/>
        <w:jc w:val="left"/>
      </w:pPr>
      <w:rPr>
        <w:rFonts w:ascii="Arial" w:eastAsia="Arial" w:hAnsi="Arial" w:cs="Arial" w:hint="default"/>
        <w:spacing w:val="-1"/>
        <w:w w:val="100"/>
        <w:sz w:val="21"/>
        <w:szCs w:val="21"/>
        <w:lang w:val="en-US" w:eastAsia="en-US" w:bidi="ar-SA"/>
      </w:rPr>
    </w:lvl>
    <w:lvl w:ilvl="1" w:tplc="25B6072A">
      <w:numFmt w:val="bullet"/>
      <w:lvlText w:val="•"/>
      <w:lvlJc w:val="left"/>
      <w:pPr>
        <w:ind w:left="2710" w:hanging="346"/>
      </w:pPr>
      <w:rPr>
        <w:rFonts w:hint="default"/>
        <w:lang w:val="en-US" w:eastAsia="en-US" w:bidi="ar-SA"/>
      </w:rPr>
    </w:lvl>
    <w:lvl w:ilvl="2" w:tplc="57E66FA2">
      <w:numFmt w:val="bullet"/>
      <w:lvlText w:val="•"/>
      <w:lvlJc w:val="left"/>
      <w:pPr>
        <w:ind w:left="3481" w:hanging="346"/>
      </w:pPr>
      <w:rPr>
        <w:rFonts w:hint="default"/>
        <w:lang w:val="en-US" w:eastAsia="en-US" w:bidi="ar-SA"/>
      </w:rPr>
    </w:lvl>
    <w:lvl w:ilvl="3" w:tplc="103061E6">
      <w:numFmt w:val="bullet"/>
      <w:lvlText w:val="•"/>
      <w:lvlJc w:val="left"/>
      <w:pPr>
        <w:ind w:left="4251" w:hanging="346"/>
      </w:pPr>
      <w:rPr>
        <w:rFonts w:hint="default"/>
        <w:lang w:val="en-US" w:eastAsia="en-US" w:bidi="ar-SA"/>
      </w:rPr>
    </w:lvl>
    <w:lvl w:ilvl="4" w:tplc="396663B6">
      <w:numFmt w:val="bullet"/>
      <w:lvlText w:val="•"/>
      <w:lvlJc w:val="left"/>
      <w:pPr>
        <w:ind w:left="5022" w:hanging="346"/>
      </w:pPr>
      <w:rPr>
        <w:rFonts w:hint="default"/>
        <w:lang w:val="en-US" w:eastAsia="en-US" w:bidi="ar-SA"/>
      </w:rPr>
    </w:lvl>
    <w:lvl w:ilvl="5" w:tplc="9884AA4C">
      <w:numFmt w:val="bullet"/>
      <w:lvlText w:val="•"/>
      <w:lvlJc w:val="left"/>
      <w:pPr>
        <w:ind w:left="5793" w:hanging="346"/>
      </w:pPr>
      <w:rPr>
        <w:rFonts w:hint="default"/>
        <w:lang w:val="en-US" w:eastAsia="en-US" w:bidi="ar-SA"/>
      </w:rPr>
    </w:lvl>
    <w:lvl w:ilvl="6" w:tplc="AFCE08BC">
      <w:numFmt w:val="bullet"/>
      <w:lvlText w:val="•"/>
      <w:lvlJc w:val="left"/>
      <w:pPr>
        <w:ind w:left="6563" w:hanging="346"/>
      </w:pPr>
      <w:rPr>
        <w:rFonts w:hint="default"/>
        <w:lang w:val="en-US" w:eastAsia="en-US" w:bidi="ar-SA"/>
      </w:rPr>
    </w:lvl>
    <w:lvl w:ilvl="7" w:tplc="76423E98">
      <w:numFmt w:val="bullet"/>
      <w:lvlText w:val="•"/>
      <w:lvlJc w:val="left"/>
      <w:pPr>
        <w:ind w:left="7334" w:hanging="346"/>
      </w:pPr>
      <w:rPr>
        <w:rFonts w:hint="default"/>
        <w:lang w:val="en-US" w:eastAsia="en-US" w:bidi="ar-SA"/>
      </w:rPr>
    </w:lvl>
    <w:lvl w:ilvl="8" w:tplc="BFD4D47A">
      <w:numFmt w:val="bullet"/>
      <w:lvlText w:val="•"/>
      <w:lvlJc w:val="left"/>
      <w:pPr>
        <w:ind w:left="8105" w:hanging="346"/>
      </w:pPr>
      <w:rPr>
        <w:rFonts w:hint="default"/>
        <w:lang w:val="en-US" w:eastAsia="en-US" w:bidi="ar-SA"/>
      </w:rPr>
    </w:lvl>
  </w:abstractNum>
  <w:abstractNum w:abstractNumId="7">
    <w:nsid w:val="75A04810"/>
    <w:multiLevelType w:val="hybridMultilevel"/>
    <w:tmpl w:val="9B9E76C6"/>
    <w:lvl w:ilvl="0" w:tplc="1570BA22">
      <w:start w:val="1"/>
      <w:numFmt w:val="decimal"/>
      <w:lvlText w:val="%1."/>
      <w:lvlJc w:val="left"/>
      <w:pPr>
        <w:ind w:left="500" w:hanging="720"/>
        <w:jc w:val="right"/>
      </w:pPr>
      <w:rPr>
        <w:rFonts w:ascii="Arial" w:eastAsia="Arial" w:hAnsi="Arial" w:cs="Arial" w:hint="default"/>
        <w:w w:val="99"/>
        <w:sz w:val="25"/>
        <w:szCs w:val="25"/>
        <w:lang w:val="en-US" w:eastAsia="en-US" w:bidi="ar-SA"/>
      </w:rPr>
    </w:lvl>
    <w:lvl w:ilvl="1" w:tplc="620E10CA">
      <w:start w:val="1"/>
      <w:numFmt w:val="lowerRoman"/>
      <w:lvlText w:val="(%2)"/>
      <w:lvlJc w:val="left"/>
      <w:pPr>
        <w:ind w:left="1940" w:hanging="720"/>
        <w:jc w:val="left"/>
      </w:pPr>
      <w:rPr>
        <w:rFonts w:ascii="Arial" w:eastAsia="Arial" w:hAnsi="Arial" w:cs="Arial" w:hint="default"/>
        <w:w w:val="99"/>
        <w:sz w:val="25"/>
        <w:szCs w:val="25"/>
        <w:lang w:val="en-US" w:eastAsia="en-US" w:bidi="ar-SA"/>
      </w:rPr>
    </w:lvl>
    <w:lvl w:ilvl="2" w:tplc="59BAABA8">
      <w:numFmt w:val="bullet"/>
      <w:lvlText w:val="•"/>
      <w:lvlJc w:val="left"/>
      <w:pPr>
        <w:ind w:left="2796" w:hanging="720"/>
      </w:pPr>
      <w:rPr>
        <w:rFonts w:hint="default"/>
        <w:lang w:val="en-US" w:eastAsia="en-US" w:bidi="ar-SA"/>
      </w:rPr>
    </w:lvl>
    <w:lvl w:ilvl="3" w:tplc="EE68C610">
      <w:numFmt w:val="bullet"/>
      <w:lvlText w:val="•"/>
      <w:lvlJc w:val="left"/>
      <w:pPr>
        <w:ind w:left="3652" w:hanging="720"/>
      </w:pPr>
      <w:rPr>
        <w:rFonts w:hint="default"/>
        <w:lang w:val="en-US" w:eastAsia="en-US" w:bidi="ar-SA"/>
      </w:rPr>
    </w:lvl>
    <w:lvl w:ilvl="4" w:tplc="02609914">
      <w:numFmt w:val="bullet"/>
      <w:lvlText w:val="•"/>
      <w:lvlJc w:val="left"/>
      <w:pPr>
        <w:ind w:left="4508" w:hanging="720"/>
      </w:pPr>
      <w:rPr>
        <w:rFonts w:hint="default"/>
        <w:lang w:val="en-US" w:eastAsia="en-US" w:bidi="ar-SA"/>
      </w:rPr>
    </w:lvl>
    <w:lvl w:ilvl="5" w:tplc="107EFF38">
      <w:numFmt w:val="bullet"/>
      <w:lvlText w:val="•"/>
      <w:lvlJc w:val="left"/>
      <w:pPr>
        <w:ind w:left="5365" w:hanging="720"/>
      </w:pPr>
      <w:rPr>
        <w:rFonts w:hint="default"/>
        <w:lang w:val="en-US" w:eastAsia="en-US" w:bidi="ar-SA"/>
      </w:rPr>
    </w:lvl>
    <w:lvl w:ilvl="6" w:tplc="A4E455BA">
      <w:numFmt w:val="bullet"/>
      <w:lvlText w:val="•"/>
      <w:lvlJc w:val="left"/>
      <w:pPr>
        <w:ind w:left="6221" w:hanging="720"/>
      </w:pPr>
      <w:rPr>
        <w:rFonts w:hint="default"/>
        <w:lang w:val="en-US" w:eastAsia="en-US" w:bidi="ar-SA"/>
      </w:rPr>
    </w:lvl>
    <w:lvl w:ilvl="7" w:tplc="15D87536">
      <w:numFmt w:val="bullet"/>
      <w:lvlText w:val="•"/>
      <w:lvlJc w:val="left"/>
      <w:pPr>
        <w:ind w:left="7077" w:hanging="720"/>
      </w:pPr>
      <w:rPr>
        <w:rFonts w:hint="default"/>
        <w:lang w:val="en-US" w:eastAsia="en-US" w:bidi="ar-SA"/>
      </w:rPr>
    </w:lvl>
    <w:lvl w:ilvl="8" w:tplc="21F29FE2">
      <w:numFmt w:val="bullet"/>
      <w:lvlText w:val="•"/>
      <w:lvlJc w:val="left"/>
      <w:pPr>
        <w:ind w:left="7933" w:hanging="720"/>
      </w:pPr>
      <w:rPr>
        <w:rFonts w:hint="default"/>
        <w:lang w:val="en-US" w:eastAsia="en-US" w:bidi="ar-SA"/>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215AB"/>
    <w:rsid w:val="00132940"/>
    <w:rsid w:val="006513FA"/>
    <w:rsid w:val="008215A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15AB"/>
    <w:rPr>
      <w:rFonts w:ascii="Arial" w:eastAsia="Arial" w:hAnsi="Arial" w:cs="Arial"/>
    </w:rPr>
  </w:style>
  <w:style w:type="paragraph" w:styleId="Heading1">
    <w:name w:val="heading 1"/>
    <w:basedOn w:val="Normal"/>
    <w:uiPriority w:val="1"/>
    <w:qFormat/>
    <w:rsid w:val="008215AB"/>
    <w:pPr>
      <w:ind w:left="2869"/>
      <w:jc w:val="center"/>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15AB"/>
    <w:rPr>
      <w:sz w:val="25"/>
      <w:szCs w:val="25"/>
    </w:rPr>
  </w:style>
  <w:style w:type="paragraph" w:styleId="Title">
    <w:name w:val="Title"/>
    <w:basedOn w:val="Normal"/>
    <w:uiPriority w:val="1"/>
    <w:qFormat/>
    <w:rsid w:val="008215AB"/>
    <w:pPr>
      <w:spacing w:before="91"/>
      <w:ind w:left="500"/>
    </w:pPr>
    <w:rPr>
      <w:b/>
      <w:bCs/>
      <w:sz w:val="26"/>
      <w:szCs w:val="26"/>
      <w:u w:val="single" w:color="000000"/>
    </w:rPr>
  </w:style>
  <w:style w:type="paragraph" w:styleId="ListParagraph">
    <w:name w:val="List Paragraph"/>
    <w:basedOn w:val="Normal"/>
    <w:uiPriority w:val="1"/>
    <w:qFormat/>
    <w:rsid w:val="008215AB"/>
    <w:pPr>
      <w:ind w:left="1660" w:right="336" w:hanging="720"/>
      <w:jc w:val="both"/>
    </w:pPr>
  </w:style>
  <w:style w:type="paragraph" w:customStyle="1" w:styleId="TableParagraph">
    <w:name w:val="Table Paragraph"/>
    <w:basedOn w:val="Normal"/>
    <w:uiPriority w:val="1"/>
    <w:qFormat/>
    <w:rsid w:val="008215AB"/>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aindustry.nic.in/home.asp"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grb.gov.in/CGD-NOCs.html"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aindustry.nic.in/home.asp"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13674</Words>
  <Characters>77945</Characters>
  <Application>Microsoft Office Word</Application>
  <DocSecurity>0</DocSecurity>
  <Lines>649</Lines>
  <Paragraphs>182</Paragraphs>
  <ScaleCrop>false</ScaleCrop>
  <Company/>
  <LinksUpToDate>false</LinksUpToDate>
  <CharactersWithSpaces>91437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Vasudev Devadasan</dc:creator>
  <cp:lastModifiedBy>Mantu</cp:lastModifiedBy>
  <cp:revision>2</cp:revision>
  <dcterms:created xsi:type="dcterms:W3CDTF">2020-02-17T13:29:00Z</dcterms:created>
  <dcterms:modified xsi:type="dcterms:W3CDTF">2020-02-17T13:29:00Z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2010</vt:lpwstr>
  </property>
  <property fmtid="{D5CDD505-2E9C-101B-9397-08002B2CF9AE}" pid="4" name="LastSaved">
    <vt:filetime>2020-02-17T00:00:00Z</vt:filetime>
  </property>
</Properties>
</file>