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0"/>
        <w:ind w:right="109"/>
        <w:jc w:val="right"/>
        <w:rPr>
          <w:b/>
        </w:rPr>
      </w:pPr>
      <w:r>
        <w:rPr>
          <w:b/>
          <w:color w:val="000009"/>
          <w:u w:val="thick" w:color="000009"/>
        </w:rPr>
        <w:t>REPORTABLE</w:t>
      </w:r>
    </w:p>
    <w:p>
      <w:pPr>
        <w:pStyle w:val="BodyText"/>
        <w:spacing w:before="1"/>
        <w:rPr>
          <w:b/>
          <w:sz w:val="22"/>
        </w:rPr>
      </w:pPr>
    </w:p>
    <w:p>
      <w:pPr>
        <w:pStyle w:val="BodyText"/>
        <w:spacing w:line="244" w:lineRule="auto" w:before="98"/>
        <w:ind w:left="2966" w:right="1687"/>
        <w:jc w:val="center"/>
        <w:rPr>
          <w:b w:val="0"/>
        </w:rPr>
      </w:pPr>
      <w:r>
        <w:rPr>
          <w:b w:val="0"/>
          <w:color w:val="000009"/>
        </w:rPr>
        <w:t>IN THE SUPREME COURT OF INDIA CIVIL APPELLATE JURISDICTION</w:t>
      </w:r>
    </w:p>
    <w:p>
      <w:pPr>
        <w:pStyle w:val="BodyText"/>
        <w:spacing w:before="5"/>
        <w:rPr>
          <w:b w:val="0"/>
          <w:sz w:val="30"/>
        </w:rPr>
      </w:pPr>
    </w:p>
    <w:p>
      <w:pPr>
        <w:pStyle w:val="BodyText"/>
        <w:ind w:left="2331" w:right="1683"/>
        <w:jc w:val="center"/>
        <w:rPr>
          <w:b/>
        </w:rPr>
      </w:pPr>
      <w:r>
        <w:rPr>
          <w:b/>
          <w:color w:val="000009"/>
          <w:u w:val="thick" w:color="000009"/>
        </w:rPr>
        <w:t>CIVIL APPEAL NO(s). 2551 OF 2020</w:t>
      </w:r>
    </w:p>
    <w:p>
      <w:pPr>
        <w:pStyle w:val="BodyText"/>
        <w:spacing w:before="19"/>
        <w:ind w:left="2331" w:right="1687"/>
        <w:jc w:val="center"/>
        <w:rPr>
          <w:b w:val="0"/>
        </w:rPr>
      </w:pPr>
      <w:r>
        <w:rPr>
          <w:b w:val="0"/>
          <w:color w:val="000009"/>
        </w:rPr>
        <w:t>(arising out of SLP (Civil) No(s). 1738 of 2018)</w:t>
      </w:r>
    </w:p>
    <w:p>
      <w:pPr>
        <w:pStyle w:val="BodyText"/>
        <w:spacing w:before="5"/>
        <w:rPr>
          <w:b w:val="0"/>
          <w:sz w:val="29"/>
        </w:rPr>
      </w:pPr>
    </w:p>
    <w:p>
      <w:pPr>
        <w:pStyle w:val="BodyText"/>
        <w:tabs>
          <w:tab w:pos="7243" w:val="left" w:leader="none"/>
        </w:tabs>
        <w:ind w:left="764"/>
        <w:rPr>
          <w:b w:val="0"/>
        </w:rPr>
      </w:pPr>
      <w:r>
        <w:rPr>
          <w:b w:val="0"/>
          <w:color w:val="000009"/>
        </w:rPr>
        <w:t>SRI ANTHONY alias</w:t>
      </w:r>
      <w:r>
        <w:rPr>
          <w:b w:val="0"/>
          <w:color w:val="000009"/>
          <w:spacing w:val="-9"/>
        </w:rPr>
        <w:t> </w:t>
      </w:r>
      <w:r>
        <w:rPr>
          <w:b w:val="0"/>
          <w:color w:val="000009"/>
        </w:rPr>
        <w:t>ANTHONY</w:t>
      </w:r>
      <w:r>
        <w:rPr>
          <w:b w:val="0"/>
          <w:color w:val="000009"/>
          <w:spacing w:val="-2"/>
        </w:rPr>
        <w:t> </w:t>
      </w:r>
      <w:r>
        <w:rPr>
          <w:b w:val="0"/>
          <w:color w:val="000009"/>
        </w:rPr>
        <w:t>SWAMY</w:t>
        <w:tab/>
        <w:t>...APPELLANT(S)</w:t>
      </w:r>
    </w:p>
    <w:p>
      <w:pPr>
        <w:pStyle w:val="BodyText"/>
        <w:spacing w:before="266"/>
        <w:ind w:left="2337" w:right="1687"/>
        <w:jc w:val="center"/>
        <w:rPr>
          <w:b w:val="0"/>
        </w:rPr>
      </w:pPr>
      <w:r>
        <w:rPr>
          <w:b w:val="0"/>
          <w:color w:val="000009"/>
        </w:rPr>
        <w:t>VERSUS</w:t>
      </w:r>
    </w:p>
    <w:p>
      <w:pPr>
        <w:pStyle w:val="BodyText"/>
        <w:tabs>
          <w:tab w:pos="7511" w:val="left" w:leader="dot"/>
        </w:tabs>
        <w:spacing w:before="175"/>
        <w:ind w:left="764"/>
        <w:rPr>
          <w:b w:val="0"/>
        </w:rPr>
      </w:pPr>
      <w:r>
        <w:rPr>
          <w:b w:val="0"/>
          <w:color w:val="000009"/>
        </w:rPr>
        <w:t>THE MANAGING</w:t>
      </w:r>
      <w:r>
        <w:rPr>
          <w:b w:val="0"/>
          <w:color w:val="000009"/>
          <w:spacing w:val="-6"/>
        </w:rPr>
        <w:t> </w:t>
      </w:r>
      <w:r>
        <w:rPr>
          <w:b w:val="0"/>
          <w:color w:val="000009"/>
        </w:rPr>
        <w:t>DIRECTOR,</w:t>
      </w:r>
      <w:r>
        <w:rPr>
          <w:b w:val="0"/>
          <w:color w:val="000009"/>
          <w:spacing w:val="-2"/>
        </w:rPr>
        <w:t> </w:t>
      </w:r>
      <w:r>
        <w:rPr>
          <w:b w:val="0"/>
          <w:color w:val="000009"/>
        </w:rPr>
        <w:t>K.S.R.T.C</w:t>
        <w:tab/>
        <w:t>RESPONDENT(S)</w:t>
      </w:r>
    </w:p>
    <w:p>
      <w:pPr>
        <w:pStyle w:val="BodyText"/>
        <w:rPr>
          <w:b w:val="0"/>
          <w:sz w:val="34"/>
        </w:rPr>
      </w:pPr>
    </w:p>
    <w:p>
      <w:pPr>
        <w:pStyle w:val="BodyText"/>
        <w:spacing w:before="250"/>
        <w:ind w:left="2968" w:right="1687"/>
        <w:jc w:val="center"/>
        <w:rPr>
          <w:b/>
        </w:rPr>
      </w:pPr>
      <w:r>
        <w:rPr>
          <w:b/>
          <w:color w:val="000009"/>
          <w:u w:val="thick" w:color="000009"/>
        </w:rPr>
        <w:t>JUDGMENT</w:t>
      </w:r>
    </w:p>
    <w:p>
      <w:pPr>
        <w:pStyle w:val="BodyText"/>
        <w:spacing w:before="6"/>
        <w:rPr>
          <w:b/>
          <w:sz w:val="24"/>
        </w:rPr>
      </w:pPr>
    </w:p>
    <w:p>
      <w:pPr>
        <w:pStyle w:val="BodyText"/>
        <w:spacing w:before="116"/>
        <w:ind w:left="1394"/>
        <w:rPr>
          <w:b/>
        </w:rPr>
      </w:pPr>
      <w:r>
        <w:rPr>
          <w:b/>
          <w:color w:val="000009"/>
          <w:u w:val="thick" w:color="000009"/>
        </w:rPr>
        <w:t>NAVIN SINHA, J.</w:t>
      </w:r>
    </w:p>
    <w:p>
      <w:pPr>
        <w:pStyle w:val="BodyText"/>
        <w:spacing w:before="6"/>
        <w:rPr>
          <w:b/>
          <w:sz w:val="24"/>
        </w:rPr>
      </w:pPr>
    </w:p>
    <w:p>
      <w:pPr>
        <w:pStyle w:val="BodyText"/>
        <w:spacing w:before="97"/>
        <w:ind w:left="1484"/>
        <w:rPr>
          <w:b w:val="0"/>
        </w:rPr>
      </w:pPr>
      <w:r>
        <w:rPr>
          <w:b w:val="0"/>
          <w:color w:val="000009"/>
        </w:rPr>
        <w:t>Leave granted.</w:t>
      </w:r>
    </w:p>
    <w:p>
      <w:pPr>
        <w:pStyle w:val="BodyText"/>
        <w:spacing w:before="5"/>
        <w:rPr>
          <w:b w:val="0"/>
          <w:sz w:val="29"/>
        </w:rPr>
      </w:pPr>
    </w:p>
    <w:p>
      <w:pPr>
        <w:pStyle w:val="ListParagraph"/>
        <w:numPr>
          <w:ilvl w:val="0"/>
          <w:numId w:val="1"/>
        </w:numPr>
        <w:tabs>
          <w:tab w:pos="1484" w:val="left" w:leader="none"/>
        </w:tabs>
        <w:spacing w:line="491" w:lineRule="auto" w:before="0" w:after="0"/>
        <w:ind w:left="764" w:right="123" w:firstLine="0"/>
        <w:jc w:val="both"/>
        <w:rPr>
          <w:b w:val="0"/>
          <w:sz w:val="28"/>
        </w:rPr>
      </w:pPr>
      <w:r>
        <w:rPr>
          <w:b w:val="0"/>
          <w:color w:val="000009"/>
          <w:sz w:val="28"/>
        </w:rPr>
        <w:t>The appellant is in appeal aggrieved by the order of the High Court, claiming inadequacy of compensation granted to him in a motor accident case.</w:t>
      </w:r>
    </w:p>
    <w:p>
      <w:pPr>
        <w:pStyle w:val="BodyText"/>
        <w:rPr>
          <w:b w:val="0"/>
          <w:sz w:val="34"/>
        </w:rPr>
      </w:pPr>
    </w:p>
    <w:p>
      <w:pPr>
        <w:pStyle w:val="ListParagraph"/>
        <w:numPr>
          <w:ilvl w:val="0"/>
          <w:numId w:val="1"/>
        </w:numPr>
        <w:tabs>
          <w:tab w:pos="1484" w:val="left" w:leader="none"/>
        </w:tabs>
        <w:spacing w:line="491" w:lineRule="auto" w:before="276" w:after="0"/>
        <w:ind w:left="764" w:right="120" w:firstLine="0"/>
        <w:jc w:val="both"/>
        <w:rPr>
          <w:b w:val="0"/>
          <w:sz w:val="28"/>
        </w:rPr>
      </w:pPr>
      <w:r>
        <w:rPr>
          <w:b w:val="0"/>
          <w:color w:val="000009"/>
          <w:sz w:val="28"/>
        </w:rPr>
        <w:t>The appellant was travelling in a bus of the respondent Corporation and met with an accident on 19.02.2010, due to rash and</w:t>
      </w:r>
      <w:r>
        <w:rPr>
          <w:b w:val="0"/>
          <w:color w:val="000009"/>
          <w:spacing w:val="17"/>
          <w:sz w:val="28"/>
        </w:rPr>
        <w:t> </w:t>
      </w:r>
      <w:r>
        <w:rPr>
          <w:b w:val="0"/>
          <w:color w:val="000009"/>
          <w:sz w:val="28"/>
        </w:rPr>
        <w:t>negligent</w:t>
      </w:r>
      <w:r>
        <w:rPr>
          <w:b w:val="0"/>
          <w:color w:val="000009"/>
          <w:spacing w:val="16"/>
          <w:sz w:val="28"/>
        </w:rPr>
        <w:t> </w:t>
      </w:r>
      <w:r>
        <w:rPr>
          <w:b w:val="0"/>
          <w:color w:val="000009"/>
          <w:sz w:val="28"/>
        </w:rPr>
        <w:t>driving</w:t>
      </w:r>
      <w:r>
        <w:rPr>
          <w:b w:val="0"/>
          <w:color w:val="000009"/>
          <w:spacing w:val="16"/>
          <w:sz w:val="28"/>
        </w:rPr>
        <w:t> </w:t>
      </w:r>
      <w:r>
        <w:rPr>
          <w:b w:val="0"/>
          <w:color w:val="000009"/>
          <w:sz w:val="28"/>
        </w:rPr>
        <w:t>of</w:t>
      </w:r>
      <w:r>
        <w:rPr>
          <w:b w:val="0"/>
          <w:color w:val="000009"/>
          <w:spacing w:val="17"/>
          <w:sz w:val="28"/>
        </w:rPr>
        <w:t> </w:t>
      </w:r>
      <w:r>
        <w:rPr>
          <w:b w:val="0"/>
          <w:color w:val="000009"/>
          <w:sz w:val="28"/>
        </w:rPr>
        <w:t>the</w:t>
      </w:r>
      <w:r>
        <w:rPr>
          <w:b w:val="0"/>
          <w:color w:val="000009"/>
          <w:spacing w:val="18"/>
          <w:sz w:val="28"/>
        </w:rPr>
        <w:t> </w:t>
      </w:r>
      <w:r>
        <w:rPr>
          <w:b w:val="0"/>
          <w:color w:val="000009"/>
          <w:sz w:val="28"/>
        </w:rPr>
        <w:t>bus</w:t>
      </w:r>
      <w:r>
        <w:rPr>
          <w:b w:val="0"/>
          <w:color w:val="000009"/>
          <w:spacing w:val="17"/>
          <w:sz w:val="28"/>
        </w:rPr>
        <w:t> </w:t>
      </w:r>
      <w:r>
        <w:rPr>
          <w:b w:val="0"/>
          <w:color w:val="000009"/>
          <w:sz w:val="28"/>
        </w:rPr>
        <w:t>driver</w:t>
      </w:r>
      <w:r>
        <w:rPr>
          <w:b w:val="0"/>
          <w:color w:val="000009"/>
          <w:spacing w:val="18"/>
          <w:sz w:val="28"/>
        </w:rPr>
        <w:t> </w:t>
      </w:r>
      <w:r>
        <w:rPr>
          <w:b w:val="0"/>
          <w:color w:val="000009"/>
          <w:sz w:val="28"/>
        </w:rPr>
        <w:t>who</w:t>
      </w:r>
      <w:r>
        <w:rPr>
          <w:b w:val="0"/>
          <w:color w:val="000009"/>
          <w:spacing w:val="16"/>
          <w:sz w:val="28"/>
        </w:rPr>
        <w:t> </w:t>
      </w:r>
      <w:r>
        <w:rPr>
          <w:b w:val="0"/>
          <w:color w:val="000009"/>
          <w:sz w:val="28"/>
        </w:rPr>
        <w:t>hit</w:t>
      </w:r>
      <w:r>
        <w:rPr>
          <w:b w:val="0"/>
          <w:color w:val="000009"/>
          <w:spacing w:val="17"/>
          <w:sz w:val="28"/>
        </w:rPr>
        <w:t> </w:t>
      </w:r>
      <w:r>
        <w:rPr>
          <w:b w:val="0"/>
          <w:color w:val="000009"/>
          <w:sz w:val="28"/>
        </w:rPr>
        <w:t>a</w:t>
      </w:r>
      <w:r>
        <w:rPr>
          <w:b w:val="0"/>
          <w:color w:val="000009"/>
          <w:spacing w:val="16"/>
          <w:sz w:val="28"/>
        </w:rPr>
        <w:t> </w:t>
      </w:r>
      <w:r>
        <w:rPr>
          <w:b w:val="0"/>
          <w:color w:val="000009"/>
          <w:sz w:val="28"/>
        </w:rPr>
        <w:t>lorry</w:t>
      </w:r>
      <w:r>
        <w:rPr>
          <w:b w:val="0"/>
          <w:color w:val="000009"/>
          <w:spacing w:val="16"/>
          <w:sz w:val="28"/>
        </w:rPr>
        <w:t> </w:t>
      </w:r>
      <w:r>
        <w:rPr>
          <w:b w:val="0"/>
          <w:color w:val="000009"/>
          <w:sz w:val="28"/>
        </w:rPr>
        <w:t>from</w:t>
      </w:r>
      <w:r>
        <w:rPr>
          <w:b w:val="0"/>
          <w:color w:val="000009"/>
          <w:spacing w:val="17"/>
          <w:sz w:val="28"/>
        </w:rPr>
        <w:t> </w:t>
      </w:r>
      <w:r>
        <w:rPr>
          <w:b w:val="0"/>
          <w:color w:val="000009"/>
          <w:sz w:val="28"/>
        </w:rPr>
        <w:t>behind.</w:t>
      </w:r>
    </w:p>
    <w:p>
      <w:pPr>
        <w:spacing w:after="0" w:line="491" w:lineRule="auto"/>
        <w:jc w:val="both"/>
        <w:rPr>
          <w:sz w:val="28"/>
        </w:rPr>
        <w:sectPr>
          <w:footerReference w:type="default" r:id="rId5"/>
          <w:type w:val="continuous"/>
          <w:pgSz w:w="12240" w:h="15840"/>
          <w:pgMar w:footer="975" w:top="1060" w:bottom="1160" w:left="940" w:right="1020"/>
          <w:pgNumType w:start="1"/>
        </w:sectPr>
      </w:pPr>
    </w:p>
    <w:p>
      <w:pPr>
        <w:spacing w:line="220" w:lineRule="auto" w:before="15"/>
        <w:ind w:left="100" w:right="38" w:firstLine="0"/>
        <w:jc w:val="left"/>
        <w:rPr>
          <w:rFonts w:ascii="Arial"/>
          <w:sz w:val="8"/>
        </w:rPr>
      </w:pPr>
      <w:r>
        <w:rPr/>
        <w:pict>
          <v:group style="position:absolute;margin-left:62.882401pt;margin-top:6.768584pt;width:21.85pt;height:31.5pt;mso-position-horizontal-relative:page;mso-position-vertical-relative:paragraph;z-index:-251915264" coordorigin="1258,135" coordsize="437,630">
            <v:shape style="position:absolute;left:1276;top:154;width:417;height:611" coordorigin="1277,155" coordsize="417,611" path="m1677,254l1486,254,1514,258,1540,271,1560,296,1568,337,1564,361,1554,383,1538,402,1516,420,1470,459,1444,496,1433,538,1430,591,1541,591,1544,553,1553,526,1569,506,1592,488,1635,454,1667,419,1687,380,1694,333,1677,254xm1479,155l1409,165,1343,198,1295,259,1277,351,1396,351,1396,350,1401,319,1414,287,1441,263,1486,254,1677,254,1676,251,1633,199,1576,170,1521,157,1479,155xm1549,647l1427,647,1427,765,1549,765,1549,647xe" filled="true" fillcolor="#000000" stroked="false">
              <v:path arrowok="t"/>
              <v:fill type="solid"/>
            </v:shape>
            <v:shape style="position:absolute;left:1258;top:135;width:417;height:611" coordorigin="1258,136" coordsize="417,611" path="m1658,235l1468,235,1495,239,1522,252,1541,277,1549,318,1545,342,1535,364,1519,384,1497,401,1451,440,1425,477,1414,519,1411,572,1522,572,1525,534,1534,508,1550,488,1573,469,1617,435,1648,400,1668,361,1675,314,1658,235xm1460,136l1390,146,1325,179,1277,240,1258,332,1377,332,1377,332,1382,300,1396,269,1422,245,1468,235,1658,235,1657,233,1614,181,1558,151,1502,139,1460,136xm1530,628l1408,628,1408,746,1530,746,1530,628xe" filled="true" fillcolor="#ffff66" stroked="false">
              <v:path arrowok="t"/>
              <v:fill type="solid"/>
            </v:shape>
            <v:shape style="position:absolute;left:1480;top:-15439;width:11580;height:16960" coordorigin="1480,-15439" coordsize="11580,16960" path="m1411,572l1414,519,1425,477,1451,440,1497,401,1519,384,1535,364,1545,342,1549,318,1541,277,1522,252,1495,239,1468,235,1422,245,1396,269,1382,300,1377,332,1377,332,1258,332,1277,240,1325,179,1390,146,1460,136,1502,139,1558,151,1614,181,1657,233,1675,314,1668,361,1648,400,1617,435,1573,469,1550,488,1534,508,1525,534,1522,572,1411,572xm1408,628l1530,628,1530,746,1408,746,1408,628xe" filled="false" stroked="true" strokeweight=".0432pt" strokecolor="#707070">
              <v:path arrowok="t"/>
              <v:stroke dashstyle="solid"/>
            </v:shape>
            <w10:wrap type="none"/>
          </v:group>
        </w:pict>
      </w:r>
      <w:r>
        <w:rPr>
          <w:rFonts w:ascii="Arial"/>
          <w:w w:val="104"/>
          <w:sz w:val="9"/>
        </w:rPr>
        <w:t>Signature</w:t>
      </w:r>
      <w:r>
        <w:rPr>
          <w:rFonts w:ascii="Arial"/>
          <w:spacing w:val="1"/>
          <w:sz w:val="9"/>
        </w:rPr>
        <w:t> </w:t>
      </w:r>
      <w:r>
        <w:rPr>
          <w:rFonts w:ascii="Arial"/>
          <w:w w:val="104"/>
          <w:sz w:val="9"/>
        </w:rPr>
        <w:t>Not</w:t>
      </w:r>
      <w:r>
        <w:rPr>
          <w:rFonts w:ascii="Arial"/>
          <w:spacing w:val="1"/>
          <w:sz w:val="9"/>
        </w:rPr>
        <w:t> </w:t>
      </w:r>
      <w:r>
        <w:rPr>
          <w:rFonts w:ascii="Arial"/>
          <w:spacing w:val="-2"/>
          <w:w w:val="104"/>
          <w:sz w:val="9"/>
        </w:rPr>
        <w:t>V</w:t>
      </w:r>
      <w:r>
        <w:rPr>
          <w:rFonts w:ascii="Arial"/>
          <w:spacing w:val="-54"/>
          <w:w w:val="104"/>
          <w:sz w:val="9"/>
        </w:rPr>
        <w:t>e</w:t>
      </w:r>
      <w:r>
        <w:rPr>
          <w:b w:val="0"/>
          <w:color w:val="000009"/>
          <w:spacing w:val="-141"/>
          <w:w w:val="99"/>
          <w:position w:val="-8"/>
          <w:sz w:val="28"/>
        </w:rPr>
        <w:t>A</w:t>
      </w:r>
      <w:r>
        <w:rPr>
          <w:rFonts w:ascii="Arial"/>
          <w:spacing w:val="-2"/>
          <w:w w:val="104"/>
          <w:sz w:val="9"/>
        </w:rPr>
        <w:t>rifi</w:t>
      </w:r>
      <w:r>
        <w:rPr>
          <w:rFonts w:ascii="Arial"/>
          <w:spacing w:val="-16"/>
          <w:w w:val="104"/>
          <w:sz w:val="9"/>
        </w:rPr>
        <w:t>e</w:t>
      </w:r>
      <w:r>
        <w:rPr>
          <w:b w:val="0"/>
          <w:color w:val="000009"/>
          <w:spacing w:val="-135"/>
          <w:w w:val="99"/>
          <w:position w:val="-8"/>
          <w:sz w:val="28"/>
        </w:rPr>
        <w:t>s</w:t>
      </w:r>
      <w:r>
        <w:rPr>
          <w:rFonts w:ascii="Arial"/>
          <w:spacing w:val="-2"/>
          <w:w w:val="104"/>
          <w:sz w:val="9"/>
        </w:rPr>
        <w:t>d</w:t>
      </w:r>
      <w:r>
        <w:rPr>
          <w:rFonts w:ascii="Arial"/>
          <w:w w:val="104"/>
          <w:sz w:val="9"/>
        </w:rPr>
        <w:t> </w:t>
      </w:r>
      <w:r>
        <w:rPr>
          <w:rFonts w:ascii="Arial"/>
          <w:sz w:val="8"/>
        </w:rPr>
        <w:t>Digitally signed by SUSHMA KUMARI BAJAJ</w:t>
      </w:r>
    </w:p>
    <w:p>
      <w:pPr>
        <w:spacing w:line="75" w:lineRule="exact" w:before="0"/>
        <w:ind w:left="100" w:right="0" w:firstLine="0"/>
        <w:jc w:val="left"/>
        <w:rPr>
          <w:rFonts w:ascii="Arial"/>
          <w:sz w:val="8"/>
        </w:rPr>
      </w:pPr>
      <w:r>
        <w:rPr>
          <w:rFonts w:ascii="Arial"/>
          <w:sz w:val="8"/>
        </w:rPr>
        <w:t>Date: 2020.06.10</w:t>
      </w:r>
    </w:p>
    <w:p>
      <w:pPr>
        <w:spacing w:line="31" w:lineRule="exact" w:before="0"/>
        <w:ind w:left="100" w:right="0" w:firstLine="0"/>
        <w:jc w:val="left"/>
        <w:rPr>
          <w:rFonts w:ascii="Arial"/>
          <w:sz w:val="8"/>
        </w:rPr>
      </w:pPr>
      <w:r>
        <w:rPr>
          <w:rFonts w:ascii="Arial"/>
          <w:sz w:val="8"/>
        </w:rPr>
        <w:t>17:00:42 IST</w:t>
      </w:r>
    </w:p>
    <w:p>
      <w:pPr>
        <w:pStyle w:val="BodyText"/>
        <w:tabs>
          <w:tab w:pos="471" w:val="left" w:leader="none"/>
          <w:tab w:pos="2431" w:val="left" w:leader="none"/>
          <w:tab w:pos="2886" w:val="left" w:leader="none"/>
          <w:tab w:pos="3532" w:val="left" w:leader="none"/>
          <w:tab w:pos="4783" w:val="left" w:leader="none"/>
          <w:tab w:pos="6182" w:val="left" w:leader="none"/>
          <w:tab w:pos="6830" w:val="left" w:leader="none"/>
          <w:tab w:pos="7463" w:val="left" w:leader="none"/>
          <w:tab w:pos="8054" w:val="left" w:leader="none"/>
          <w:tab w:pos="8509" w:val="left" w:leader="none"/>
        </w:tabs>
        <w:spacing w:before="1"/>
        <w:ind w:left="100"/>
        <w:rPr>
          <w:b w:val="0"/>
        </w:rPr>
      </w:pPr>
      <w:r>
        <w:rPr/>
        <w:br w:type="column"/>
      </w:r>
      <w:r>
        <w:rPr>
          <w:b w:val="0"/>
          <w:color w:val="000009"/>
        </w:rPr>
        <w:t>a</w:t>
        <w:tab/>
        <w:t>consequence</w:t>
        <w:tab/>
        <w:t>of</w:t>
        <w:tab/>
        <w:t>the</w:t>
        <w:tab/>
        <w:t>injuries</w:t>
        <w:tab/>
        <w:t>suffered,</w:t>
        <w:tab/>
        <w:t>the</w:t>
        <w:tab/>
        <w:t>left</w:t>
        <w:tab/>
        <w:t>leg</w:t>
        <w:tab/>
        <w:t>of</w:t>
        <w:tab/>
        <w:t>the</w:t>
      </w:r>
    </w:p>
    <w:p>
      <w:pPr>
        <w:spacing w:after="0"/>
        <w:sectPr>
          <w:type w:val="continuous"/>
          <w:pgSz w:w="12240" w:h="15840"/>
          <w:pgMar w:top="1060" w:bottom="1160" w:left="940" w:right="1020"/>
          <w:cols w:num="2" w:equalWidth="0">
            <w:col w:w="1060" w:space="150"/>
            <w:col w:w="9070"/>
          </w:cols>
        </w:sectPr>
      </w:pPr>
    </w:p>
    <w:p>
      <w:pPr>
        <w:spacing w:before="41"/>
        <w:ind w:left="100" w:right="0" w:firstLine="0"/>
        <w:jc w:val="left"/>
        <w:rPr>
          <w:rFonts w:ascii="Arial"/>
          <w:sz w:val="8"/>
        </w:rPr>
      </w:pPr>
      <w:r>
        <w:rPr>
          <w:rFonts w:ascii="Arial"/>
          <w:sz w:val="8"/>
        </w:rPr>
        <w:t>Reason:</w:t>
      </w:r>
    </w:p>
    <w:p>
      <w:pPr>
        <w:pStyle w:val="BodyText"/>
        <w:tabs>
          <w:tab w:pos="1680" w:val="left" w:leader="none"/>
          <w:tab w:pos="2505" w:val="left" w:leader="none"/>
          <w:tab w:pos="3075" w:val="left" w:leader="none"/>
          <w:tab w:pos="3698" w:val="left" w:leader="none"/>
          <w:tab w:pos="5576" w:val="left" w:leader="none"/>
          <w:tab w:pos="6385" w:val="left" w:leader="none"/>
          <w:tab w:pos="7866" w:val="left" w:leader="none"/>
          <w:tab w:pos="9329" w:val="left" w:leader="none"/>
        </w:tabs>
        <w:spacing w:line="326" w:lineRule="exact"/>
        <w:ind w:left="100"/>
        <w:rPr>
          <w:b w:val="0"/>
        </w:rPr>
      </w:pPr>
      <w:r>
        <w:rPr/>
        <w:br w:type="column"/>
      </w:r>
      <w:r>
        <w:rPr>
          <w:b w:val="0"/>
          <w:color w:val="000009"/>
        </w:rPr>
        <w:t>appellant</w:t>
        <w:tab/>
        <w:t>had</w:t>
        <w:tab/>
        <w:t>to</w:t>
        <w:tab/>
        <w:t>be</w:t>
        <w:tab/>
        <w:t>amputated.</w:t>
        <w:tab/>
        <w:t>The</w:t>
        <w:tab/>
        <w:t>Tribunal</w:t>
        <w:tab/>
        <w:t>awarded</w:t>
        <w:tab/>
        <w:t>a</w:t>
      </w:r>
    </w:p>
    <w:p>
      <w:pPr>
        <w:pStyle w:val="BodyText"/>
        <w:spacing w:before="4"/>
        <w:rPr>
          <w:b w:val="0"/>
          <w:sz w:val="29"/>
        </w:rPr>
      </w:pPr>
    </w:p>
    <w:p>
      <w:pPr>
        <w:pStyle w:val="BodyText"/>
        <w:spacing w:before="1"/>
        <w:ind w:left="100"/>
        <w:rPr>
          <w:b w:val="0"/>
        </w:rPr>
      </w:pPr>
      <w:r>
        <w:rPr>
          <w:b w:val="0"/>
          <w:color w:val="000009"/>
        </w:rPr>
        <w:t>compensation of Rs.4,08,850/­. The High Court in appeal</w:t>
      </w:r>
      <w:r>
        <w:rPr>
          <w:b w:val="0"/>
          <w:color w:val="000009"/>
          <w:spacing w:val="48"/>
        </w:rPr>
        <w:t> </w:t>
      </w:r>
      <w:r>
        <w:rPr>
          <w:b w:val="0"/>
          <w:color w:val="000009"/>
        </w:rPr>
        <w:t>enhanced</w:t>
      </w:r>
    </w:p>
    <w:p>
      <w:pPr>
        <w:spacing w:after="0"/>
        <w:sectPr>
          <w:type w:val="continuous"/>
          <w:pgSz w:w="12240" w:h="15840"/>
          <w:pgMar w:top="1060" w:bottom="1160" w:left="940" w:right="1020"/>
          <w:cols w:num="2" w:equalWidth="0">
            <w:col w:w="434" w:space="230"/>
            <w:col w:w="9616"/>
          </w:cols>
        </w:sectPr>
      </w:pPr>
    </w:p>
    <w:p>
      <w:pPr>
        <w:pStyle w:val="BodyText"/>
        <w:spacing w:line="491" w:lineRule="auto" w:before="72"/>
        <w:ind w:left="764"/>
        <w:rPr>
          <w:b w:val="0"/>
        </w:rPr>
      </w:pPr>
      <w:r>
        <w:rPr>
          <w:b w:val="0"/>
          <w:color w:val="000009"/>
        </w:rPr>
        <w:t>the same to Rs.5,10,350/­. The appeal preferred by the respondent Corporation was dismissed.</w:t>
      </w:r>
    </w:p>
    <w:p>
      <w:pPr>
        <w:pStyle w:val="BodyText"/>
        <w:rPr>
          <w:b w:val="0"/>
          <w:sz w:val="34"/>
        </w:rPr>
      </w:pPr>
    </w:p>
    <w:p>
      <w:pPr>
        <w:pStyle w:val="ListParagraph"/>
        <w:numPr>
          <w:ilvl w:val="0"/>
          <w:numId w:val="1"/>
        </w:numPr>
        <w:tabs>
          <w:tab w:pos="1484" w:val="left" w:leader="none"/>
        </w:tabs>
        <w:spacing w:line="491" w:lineRule="auto" w:before="275" w:after="0"/>
        <w:ind w:left="764" w:right="120" w:firstLine="0"/>
        <w:jc w:val="both"/>
        <w:rPr>
          <w:b w:val="0"/>
          <w:sz w:val="28"/>
        </w:rPr>
      </w:pPr>
      <w:r>
        <w:rPr>
          <w:b w:val="0"/>
          <w:color w:val="000009"/>
          <w:sz w:val="28"/>
        </w:rPr>
        <w:t>Shri Ashwin Kotemath, learned counsel for the appellant submitted that the compensation enhanced by the High Court is niggardly and grossly inadequate considering the nature of injuries suffered. The appellant was a painter by vocation. He had a daily income of Rs.300/­ cumulated at Rs.9,000/­ per month, supported by the evidence of his employer PW.2, which has been wrongly rejected. The permanent disability of the appellant contrary to the evidence of PW.3, Dr. S. Ramachandra the treating Doctor, has been wrongly fixed at 25% of the whole body without any reasoning to support the same, in the nature of the injury, suffering, future medical treatment and loss of future income caused to the appellant.</w:t>
      </w:r>
    </w:p>
    <w:p>
      <w:pPr>
        <w:pStyle w:val="BodyText"/>
        <w:spacing w:before="10"/>
        <w:rPr>
          <w:b w:val="0"/>
          <w:sz w:val="50"/>
        </w:rPr>
      </w:pPr>
    </w:p>
    <w:p>
      <w:pPr>
        <w:pStyle w:val="ListParagraph"/>
        <w:numPr>
          <w:ilvl w:val="0"/>
          <w:numId w:val="1"/>
        </w:numPr>
        <w:tabs>
          <w:tab w:pos="1484" w:val="left" w:leader="none"/>
        </w:tabs>
        <w:spacing w:line="491" w:lineRule="auto" w:before="0" w:after="0"/>
        <w:ind w:left="764" w:right="120" w:firstLine="0"/>
        <w:jc w:val="both"/>
        <w:rPr>
          <w:b w:val="0"/>
          <w:sz w:val="28"/>
        </w:rPr>
      </w:pPr>
      <w:r>
        <w:rPr>
          <w:b w:val="0"/>
          <w:color w:val="000009"/>
          <w:sz w:val="28"/>
        </w:rPr>
        <w:t>Shri S.N. Bhat, learned counsel for the respondent, submitted that the High Court has reasonably enhanced the compensation and it calls for no interference. The appellant had failed to substantiate the claimed income with substantive evidence.</w:t>
      </w:r>
      <w:r>
        <w:rPr>
          <w:b w:val="0"/>
          <w:color w:val="000009"/>
          <w:spacing w:val="73"/>
          <w:sz w:val="28"/>
        </w:rPr>
        <w:t> </w:t>
      </w:r>
      <w:r>
        <w:rPr>
          <w:b w:val="0"/>
          <w:color w:val="000009"/>
          <w:sz w:val="28"/>
        </w:rPr>
        <w:t>The</w:t>
      </w:r>
    </w:p>
    <w:p>
      <w:pPr>
        <w:spacing w:after="0" w:line="491" w:lineRule="auto"/>
        <w:jc w:val="both"/>
        <w:rPr>
          <w:sz w:val="28"/>
        </w:rPr>
        <w:sectPr>
          <w:pgSz w:w="12240" w:h="15840"/>
          <w:pgMar w:header="0" w:footer="975" w:top="1060" w:bottom="1220" w:left="940" w:right="1020"/>
        </w:sectPr>
      </w:pPr>
    </w:p>
    <w:p>
      <w:pPr>
        <w:pStyle w:val="BodyText"/>
        <w:spacing w:line="491" w:lineRule="auto" w:before="72"/>
        <w:ind w:left="764" w:right="126"/>
        <w:jc w:val="both"/>
        <w:rPr>
          <w:b w:val="0"/>
        </w:rPr>
      </w:pPr>
      <w:r>
        <w:rPr>
          <w:b w:val="0"/>
          <w:color w:val="000009"/>
        </w:rPr>
        <w:t>extent of disability suffered has been adequately assessed. The evidence of the employer and the treating doctor have all</w:t>
      </w:r>
      <w:r>
        <w:rPr>
          <w:b w:val="0"/>
          <w:color w:val="000009"/>
          <w:spacing w:val="69"/>
        </w:rPr>
        <w:t> </w:t>
      </w:r>
      <w:r>
        <w:rPr>
          <w:b w:val="0"/>
          <w:color w:val="000009"/>
        </w:rPr>
        <w:t>been considered adequately.</w:t>
      </w:r>
    </w:p>
    <w:p>
      <w:pPr>
        <w:pStyle w:val="BodyText"/>
        <w:rPr>
          <w:b w:val="0"/>
          <w:sz w:val="34"/>
        </w:rPr>
      </w:pPr>
    </w:p>
    <w:p>
      <w:pPr>
        <w:pStyle w:val="ListParagraph"/>
        <w:numPr>
          <w:ilvl w:val="0"/>
          <w:numId w:val="1"/>
        </w:numPr>
        <w:tabs>
          <w:tab w:pos="1483" w:val="left" w:leader="none"/>
          <w:tab w:pos="1484" w:val="left" w:leader="none"/>
        </w:tabs>
        <w:spacing w:line="240" w:lineRule="auto" w:before="275" w:after="0"/>
        <w:ind w:left="1484" w:right="0" w:hanging="720"/>
        <w:jc w:val="left"/>
        <w:rPr>
          <w:b w:val="0"/>
          <w:sz w:val="28"/>
        </w:rPr>
      </w:pPr>
      <w:r>
        <w:rPr>
          <w:b w:val="0"/>
          <w:color w:val="000009"/>
          <w:sz w:val="28"/>
        </w:rPr>
        <w:t>We</w:t>
      </w:r>
      <w:r>
        <w:rPr>
          <w:b w:val="0"/>
          <w:color w:val="000009"/>
          <w:spacing w:val="29"/>
          <w:sz w:val="28"/>
        </w:rPr>
        <w:t> </w:t>
      </w:r>
      <w:r>
        <w:rPr>
          <w:b w:val="0"/>
          <w:color w:val="000009"/>
          <w:sz w:val="28"/>
        </w:rPr>
        <w:t>have</w:t>
      </w:r>
      <w:r>
        <w:rPr>
          <w:b w:val="0"/>
          <w:color w:val="000009"/>
          <w:spacing w:val="30"/>
          <w:sz w:val="28"/>
        </w:rPr>
        <w:t> </w:t>
      </w:r>
      <w:r>
        <w:rPr>
          <w:b w:val="0"/>
          <w:color w:val="000009"/>
          <w:sz w:val="28"/>
        </w:rPr>
        <w:t>considered</w:t>
      </w:r>
      <w:r>
        <w:rPr>
          <w:b w:val="0"/>
          <w:color w:val="000009"/>
          <w:spacing w:val="29"/>
          <w:sz w:val="28"/>
        </w:rPr>
        <w:t> </w:t>
      </w:r>
      <w:r>
        <w:rPr>
          <w:b w:val="0"/>
          <w:color w:val="000009"/>
          <w:sz w:val="28"/>
        </w:rPr>
        <w:t>the</w:t>
      </w:r>
      <w:r>
        <w:rPr>
          <w:b w:val="0"/>
          <w:color w:val="000009"/>
          <w:spacing w:val="30"/>
          <w:sz w:val="28"/>
        </w:rPr>
        <w:t> </w:t>
      </w:r>
      <w:r>
        <w:rPr>
          <w:b w:val="0"/>
          <w:color w:val="000009"/>
          <w:sz w:val="28"/>
        </w:rPr>
        <w:t>submissions</w:t>
      </w:r>
      <w:r>
        <w:rPr>
          <w:b w:val="0"/>
          <w:color w:val="000009"/>
          <w:spacing w:val="30"/>
          <w:sz w:val="28"/>
        </w:rPr>
        <w:t> </w:t>
      </w:r>
      <w:r>
        <w:rPr>
          <w:b w:val="0"/>
          <w:color w:val="000009"/>
          <w:sz w:val="28"/>
        </w:rPr>
        <w:t>on</w:t>
      </w:r>
      <w:r>
        <w:rPr>
          <w:b w:val="0"/>
          <w:color w:val="000009"/>
          <w:spacing w:val="30"/>
          <w:sz w:val="28"/>
        </w:rPr>
        <w:t> </w:t>
      </w:r>
      <w:r>
        <w:rPr>
          <w:b w:val="0"/>
          <w:color w:val="000009"/>
          <w:sz w:val="28"/>
        </w:rPr>
        <w:t>behalf</w:t>
      </w:r>
      <w:r>
        <w:rPr>
          <w:b w:val="0"/>
          <w:color w:val="000009"/>
          <w:spacing w:val="32"/>
          <w:sz w:val="28"/>
        </w:rPr>
        <w:t> </w:t>
      </w:r>
      <w:r>
        <w:rPr>
          <w:b w:val="0"/>
          <w:color w:val="000009"/>
          <w:sz w:val="28"/>
        </w:rPr>
        <w:t>of</w:t>
      </w:r>
      <w:r>
        <w:rPr>
          <w:b w:val="0"/>
          <w:color w:val="000009"/>
          <w:spacing w:val="29"/>
          <w:sz w:val="28"/>
        </w:rPr>
        <w:t> </w:t>
      </w:r>
      <w:r>
        <w:rPr>
          <w:b w:val="0"/>
          <w:color w:val="000009"/>
          <w:sz w:val="28"/>
        </w:rPr>
        <w:t>the</w:t>
      </w:r>
      <w:r>
        <w:rPr>
          <w:b w:val="0"/>
          <w:color w:val="000009"/>
          <w:spacing w:val="30"/>
          <w:sz w:val="28"/>
        </w:rPr>
        <w:t> </w:t>
      </w:r>
      <w:r>
        <w:rPr>
          <w:b w:val="0"/>
          <w:color w:val="000009"/>
          <w:sz w:val="28"/>
        </w:rPr>
        <w:t>parties.</w:t>
      </w:r>
    </w:p>
    <w:p>
      <w:pPr>
        <w:pStyle w:val="BodyText"/>
        <w:spacing w:before="5"/>
        <w:rPr>
          <w:b w:val="0"/>
          <w:sz w:val="29"/>
        </w:rPr>
      </w:pPr>
    </w:p>
    <w:p>
      <w:pPr>
        <w:pStyle w:val="BodyText"/>
        <w:spacing w:line="491" w:lineRule="auto"/>
        <w:ind w:left="764" w:right="118"/>
        <w:jc w:val="both"/>
        <w:rPr>
          <w:b w:val="0"/>
        </w:rPr>
      </w:pPr>
      <w:r>
        <w:rPr>
          <w:b w:val="0"/>
          <w:color w:val="000009"/>
        </w:rPr>
        <w:t>The appellant was initially taken to the government hospital on the date of the accident but was shifted to a private hospital on 25.02.2010 where he remained as an inpatient till 16.09.2010 and also underwent surgery requiring amputation of his left leg from above the knee. PW.3, the treating doctor, deposed that the appellant had suffered Type III ‘B’ commuted fracture of Tibia and Fibula of the left leg with an active infection of Chronic Osteomyelitis emanating foul smell which prevented him from mixing and socialising in public. There was no alternative to amputation and fixation of an artificial leg. The physical disability suffered by the appellant of the left lower limb was assessed at 75% which was about 37.5% of the whole body. PW.3 further opined that the appellant had suffered shortening of the left lower limb by 3 cms. He could not stand independently or walk without aid of a walker or attendant. The appellant cannot sit cross legged, squat</w:t>
      </w:r>
      <w:r>
        <w:rPr>
          <w:b w:val="0"/>
          <w:color w:val="000009"/>
          <w:spacing w:val="11"/>
        </w:rPr>
        <w:t> </w:t>
      </w:r>
      <w:r>
        <w:rPr>
          <w:b w:val="0"/>
          <w:color w:val="000009"/>
        </w:rPr>
        <w:t>or</w:t>
      </w:r>
    </w:p>
    <w:p>
      <w:pPr>
        <w:spacing w:after="0" w:line="491" w:lineRule="auto"/>
        <w:jc w:val="both"/>
        <w:sectPr>
          <w:pgSz w:w="12240" w:h="15840"/>
          <w:pgMar w:header="0" w:footer="975" w:top="1060" w:bottom="1220" w:left="940" w:right="1020"/>
        </w:sectPr>
      </w:pPr>
    </w:p>
    <w:p>
      <w:pPr>
        <w:pStyle w:val="BodyText"/>
        <w:spacing w:line="491" w:lineRule="auto" w:before="72"/>
        <w:ind w:left="764" w:right="119"/>
        <w:jc w:val="both"/>
        <w:rPr>
          <w:b w:val="0"/>
        </w:rPr>
      </w:pPr>
      <w:r>
        <w:rPr>
          <w:b w:val="0"/>
          <w:color w:val="000009"/>
        </w:rPr>
        <w:t>use an Indian toilet. He could not climb up and down a staircase. The appellant was incapable of any manual work including painting. The appellant who was 45 years of age, considering average life expectancy of 65 years would require at least three further replacements of the artificial limb in his lifetime, the cost of which was assessed at approximately between Rs.75,000 to Rs.1,50,000/­.</w:t>
      </w:r>
    </w:p>
    <w:p>
      <w:pPr>
        <w:pStyle w:val="BodyText"/>
        <w:rPr>
          <w:b w:val="0"/>
          <w:sz w:val="34"/>
        </w:rPr>
      </w:pPr>
    </w:p>
    <w:p>
      <w:pPr>
        <w:pStyle w:val="ListParagraph"/>
        <w:numPr>
          <w:ilvl w:val="0"/>
          <w:numId w:val="1"/>
        </w:numPr>
        <w:tabs>
          <w:tab w:pos="1484" w:val="left" w:leader="none"/>
        </w:tabs>
        <w:spacing w:line="491" w:lineRule="auto" w:before="276" w:after="0"/>
        <w:ind w:left="764" w:right="122" w:firstLine="0"/>
        <w:jc w:val="both"/>
        <w:rPr>
          <w:b w:val="0"/>
          <w:sz w:val="28"/>
        </w:rPr>
      </w:pPr>
      <w:r>
        <w:rPr>
          <w:b w:val="0"/>
          <w:color w:val="000009"/>
          <w:sz w:val="28"/>
        </w:rPr>
        <w:t>The High Court enhanced the monthly income of the appellant to Rs.5,500/­. He has been awarded a sum of Rs.1,00,000/­ towards pain and suffering and Rs.7,350/­ towards medical expenses along with Rs.21,000/­ for attendant charges. The loss of earnings during the period of treatment has been enhanced by the High Court to Rs.66,000/­. Conveyance charges have been paid at Rs.10,000/­. We find no reason to interfere to the aforesaid</w:t>
      </w:r>
      <w:r>
        <w:rPr>
          <w:b w:val="0"/>
          <w:color w:val="000009"/>
          <w:spacing w:val="-24"/>
          <w:sz w:val="28"/>
        </w:rPr>
        <w:t> </w:t>
      </w:r>
      <w:r>
        <w:rPr>
          <w:b w:val="0"/>
          <w:color w:val="000009"/>
          <w:sz w:val="28"/>
        </w:rPr>
        <w:t>extent.</w:t>
      </w:r>
    </w:p>
    <w:p>
      <w:pPr>
        <w:pStyle w:val="BodyText"/>
        <w:rPr>
          <w:b w:val="0"/>
          <w:sz w:val="34"/>
        </w:rPr>
      </w:pPr>
    </w:p>
    <w:p>
      <w:pPr>
        <w:pStyle w:val="ListParagraph"/>
        <w:numPr>
          <w:ilvl w:val="0"/>
          <w:numId w:val="1"/>
        </w:numPr>
        <w:tabs>
          <w:tab w:pos="1484" w:val="left" w:leader="none"/>
        </w:tabs>
        <w:spacing w:line="491" w:lineRule="auto" w:before="276" w:after="0"/>
        <w:ind w:left="764" w:right="118" w:firstLine="0"/>
        <w:jc w:val="both"/>
        <w:rPr>
          <w:b w:val="0"/>
          <w:sz w:val="28"/>
        </w:rPr>
      </w:pPr>
      <w:r>
        <w:rPr>
          <w:b w:val="0"/>
          <w:color w:val="000009"/>
          <w:sz w:val="28"/>
        </w:rPr>
        <w:t>The physical disability of the appellant without any reasoning has been assessed at 25% of the whole body with which we are unable to concur. The compensation granted towards loss of future earning on account of disability at Rs.2,31,000/­ is considered grossly</w:t>
      </w:r>
      <w:r>
        <w:rPr>
          <w:b w:val="0"/>
          <w:color w:val="000009"/>
          <w:spacing w:val="44"/>
          <w:sz w:val="28"/>
        </w:rPr>
        <w:t> </w:t>
      </w:r>
      <w:r>
        <w:rPr>
          <w:b w:val="0"/>
          <w:color w:val="000009"/>
          <w:sz w:val="28"/>
        </w:rPr>
        <w:t>inadequate</w:t>
      </w:r>
      <w:r>
        <w:rPr>
          <w:b w:val="0"/>
          <w:color w:val="000009"/>
          <w:spacing w:val="45"/>
          <w:sz w:val="28"/>
        </w:rPr>
        <w:t> </w:t>
      </w:r>
      <w:r>
        <w:rPr>
          <w:b w:val="0"/>
          <w:color w:val="000009"/>
          <w:sz w:val="28"/>
        </w:rPr>
        <w:t>in</w:t>
      </w:r>
      <w:r>
        <w:rPr>
          <w:b w:val="0"/>
          <w:color w:val="000009"/>
          <w:spacing w:val="44"/>
          <w:sz w:val="28"/>
        </w:rPr>
        <w:t> </w:t>
      </w:r>
      <w:r>
        <w:rPr>
          <w:b w:val="0"/>
          <w:color w:val="000009"/>
          <w:sz w:val="28"/>
        </w:rPr>
        <w:t>the</w:t>
      </w:r>
      <w:r>
        <w:rPr>
          <w:b w:val="0"/>
          <w:color w:val="000009"/>
          <w:spacing w:val="47"/>
          <w:sz w:val="28"/>
        </w:rPr>
        <w:t> </w:t>
      </w:r>
      <w:r>
        <w:rPr>
          <w:b w:val="0"/>
          <w:color w:val="000009"/>
          <w:sz w:val="28"/>
        </w:rPr>
        <w:t>facts</w:t>
      </w:r>
      <w:r>
        <w:rPr>
          <w:b w:val="0"/>
          <w:color w:val="000009"/>
          <w:spacing w:val="45"/>
          <w:sz w:val="28"/>
        </w:rPr>
        <w:t> </w:t>
      </w:r>
      <w:r>
        <w:rPr>
          <w:b w:val="0"/>
          <w:color w:val="000009"/>
          <w:sz w:val="28"/>
        </w:rPr>
        <w:t>and</w:t>
      </w:r>
      <w:r>
        <w:rPr>
          <w:b w:val="0"/>
          <w:color w:val="000009"/>
          <w:spacing w:val="45"/>
          <w:sz w:val="28"/>
        </w:rPr>
        <w:t> </w:t>
      </w:r>
      <w:r>
        <w:rPr>
          <w:b w:val="0"/>
          <w:color w:val="000009"/>
          <w:sz w:val="28"/>
        </w:rPr>
        <w:t>circumstances</w:t>
      </w:r>
      <w:r>
        <w:rPr>
          <w:b w:val="0"/>
          <w:color w:val="000009"/>
          <w:spacing w:val="43"/>
          <w:sz w:val="28"/>
        </w:rPr>
        <w:t> </w:t>
      </w:r>
      <w:r>
        <w:rPr>
          <w:b w:val="0"/>
          <w:color w:val="000009"/>
          <w:sz w:val="28"/>
        </w:rPr>
        <w:t>of</w:t>
      </w:r>
      <w:r>
        <w:rPr>
          <w:b w:val="0"/>
          <w:color w:val="000009"/>
          <w:spacing w:val="45"/>
          <w:sz w:val="28"/>
        </w:rPr>
        <w:t> </w:t>
      </w:r>
      <w:r>
        <w:rPr>
          <w:b w:val="0"/>
          <w:color w:val="000009"/>
          <w:sz w:val="28"/>
        </w:rPr>
        <w:t>the</w:t>
      </w:r>
      <w:r>
        <w:rPr>
          <w:b w:val="0"/>
          <w:color w:val="000009"/>
          <w:spacing w:val="45"/>
          <w:sz w:val="28"/>
        </w:rPr>
        <w:t> </w:t>
      </w:r>
      <w:r>
        <w:rPr>
          <w:b w:val="0"/>
          <w:color w:val="000009"/>
          <w:sz w:val="28"/>
        </w:rPr>
        <w:t>case,</w:t>
      </w:r>
      <w:r>
        <w:rPr>
          <w:b w:val="0"/>
          <w:color w:val="000009"/>
          <w:spacing w:val="45"/>
          <w:sz w:val="28"/>
        </w:rPr>
        <w:t> </w:t>
      </w:r>
      <w:r>
        <w:rPr>
          <w:b w:val="0"/>
          <w:color w:val="000009"/>
          <w:sz w:val="28"/>
        </w:rPr>
        <w:t>as</w:t>
      </w:r>
    </w:p>
    <w:p>
      <w:pPr>
        <w:spacing w:after="0" w:line="491" w:lineRule="auto"/>
        <w:jc w:val="both"/>
        <w:rPr>
          <w:sz w:val="28"/>
        </w:rPr>
        <w:sectPr>
          <w:pgSz w:w="12240" w:h="15840"/>
          <w:pgMar w:header="0" w:footer="975" w:top="1060" w:bottom="1220" w:left="940" w:right="1020"/>
        </w:sectPr>
      </w:pPr>
    </w:p>
    <w:p>
      <w:pPr>
        <w:pStyle w:val="BodyText"/>
        <w:tabs>
          <w:tab w:pos="1538" w:val="left" w:leader="none"/>
          <w:tab w:pos="2202" w:val="left" w:leader="none"/>
          <w:tab w:pos="4337" w:val="left" w:leader="none"/>
          <w:tab w:pos="4810" w:val="left" w:leader="none"/>
          <w:tab w:pos="6708" w:val="left" w:leader="none"/>
          <w:tab w:pos="8021" w:val="left" w:leader="none"/>
          <w:tab w:pos="9094" w:val="left" w:leader="none"/>
        </w:tabs>
        <w:spacing w:line="491" w:lineRule="auto" w:before="72"/>
        <w:ind w:left="764" w:right="126"/>
        <w:rPr>
          <w:b w:val="0"/>
        </w:rPr>
      </w:pPr>
      <w:r>
        <w:rPr>
          <w:b w:val="0"/>
          <w:color w:val="000009"/>
        </w:rPr>
        <w:t>also</w:t>
        <w:tab/>
        <w:t>the</w:t>
        <w:tab/>
        <w:t>compensation</w:t>
        <w:tab/>
        <w:t>of</w:t>
        <w:tab/>
        <w:t>Rs.50,000/­</w:t>
        <w:tab/>
        <w:t>towards</w:t>
        <w:tab/>
        <w:t>future</w:t>
        <w:tab/>
      </w:r>
      <w:r>
        <w:rPr>
          <w:b w:val="0"/>
          <w:color w:val="000009"/>
          <w:spacing w:val="-4"/>
        </w:rPr>
        <w:t>medical </w:t>
      </w:r>
      <w:r>
        <w:rPr>
          <w:b w:val="0"/>
          <w:color w:val="000009"/>
        </w:rPr>
        <w:t>expenses and only Rs.25,000/­ towards loss of</w:t>
      </w:r>
      <w:r>
        <w:rPr>
          <w:b w:val="0"/>
          <w:color w:val="000009"/>
          <w:spacing w:val="-8"/>
        </w:rPr>
        <w:t> </w:t>
      </w:r>
      <w:r>
        <w:rPr>
          <w:b w:val="0"/>
          <w:color w:val="000009"/>
        </w:rPr>
        <w:t>amenities.</w:t>
      </w:r>
    </w:p>
    <w:p>
      <w:pPr>
        <w:pStyle w:val="BodyText"/>
        <w:rPr>
          <w:b w:val="0"/>
          <w:sz w:val="34"/>
        </w:rPr>
      </w:pPr>
    </w:p>
    <w:p>
      <w:pPr>
        <w:pStyle w:val="ListParagraph"/>
        <w:numPr>
          <w:ilvl w:val="0"/>
          <w:numId w:val="1"/>
        </w:numPr>
        <w:tabs>
          <w:tab w:pos="1484" w:val="left" w:leader="none"/>
        </w:tabs>
        <w:spacing w:line="491" w:lineRule="auto" w:before="275" w:after="0"/>
        <w:ind w:left="764" w:right="119" w:firstLine="0"/>
        <w:jc w:val="both"/>
        <w:rPr>
          <w:b w:val="0"/>
          <w:sz w:val="28"/>
        </w:rPr>
      </w:pPr>
      <w:r>
        <w:rPr>
          <w:b w:val="0"/>
          <w:color w:val="000009"/>
          <w:sz w:val="28"/>
        </w:rPr>
        <w:t>PW.3 had assessed the physical functional disability of the left leg of the appellant at 75% and total body disability at 37.5%. The High Court has considered it proper to assess the physical disability at 25% of the whole body only. There is no discussion for this reduction in percentage, much less any consideration of the nature of permanent functional disability suffered by the appellant. The extent of physical functional disability, in the facts of the case has to be considered in a manner so as to grant just and proper compensation to the appellant towards loss of future earning. The earning capacity of the appellant as on the date of the accident stands completely negated and not reduced. He has been rendered permanently incapable of working as a painter or do any manual work. Compensation for loss of future earning therefore has to be proper and just to enable him to live a life of dignity and</w:t>
      </w:r>
      <w:r>
        <w:rPr>
          <w:b w:val="0"/>
          <w:color w:val="000009"/>
          <w:spacing w:val="58"/>
          <w:sz w:val="28"/>
        </w:rPr>
        <w:t> </w:t>
      </w:r>
      <w:r>
        <w:rPr>
          <w:b w:val="0"/>
          <w:color w:val="000009"/>
          <w:sz w:val="28"/>
        </w:rPr>
        <w:t>not compensation which is elusive. If the 75% physical disability has rendered the appellant permanently disabled from pursuing his normal</w:t>
      </w:r>
      <w:r>
        <w:rPr>
          <w:b w:val="0"/>
          <w:color w:val="000009"/>
          <w:spacing w:val="43"/>
          <w:sz w:val="28"/>
        </w:rPr>
        <w:t> </w:t>
      </w:r>
      <w:r>
        <w:rPr>
          <w:b w:val="0"/>
          <w:color w:val="000009"/>
          <w:sz w:val="28"/>
        </w:rPr>
        <w:t>vocation</w:t>
      </w:r>
      <w:r>
        <w:rPr>
          <w:b w:val="0"/>
          <w:color w:val="000009"/>
          <w:spacing w:val="44"/>
          <w:sz w:val="28"/>
        </w:rPr>
        <w:t> </w:t>
      </w:r>
      <w:r>
        <w:rPr>
          <w:b w:val="0"/>
          <w:color w:val="000009"/>
          <w:sz w:val="28"/>
        </w:rPr>
        <w:t>or</w:t>
      </w:r>
      <w:r>
        <w:rPr>
          <w:b w:val="0"/>
          <w:color w:val="000009"/>
          <w:spacing w:val="44"/>
          <w:sz w:val="28"/>
        </w:rPr>
        <w:t> </w:t>
      </w:r>
      <w:r>
        <w:rPr>
          <w:b w:val="0"/>
          <w:color w:val="000009"/>
          <w:sz w:val="28"/>
        </w:rPr>
        <w:t>any</w:t>
      </w:r>
      <w:r>
        <w:rPr>
          <w:b w:val="0"/>
          <w:color w:val="000009"/>
          <w:spacing w:val="46"/>
          <w:sz w:val="28"/>
        </w:rPr>
        <w:t> </w:t>
      </w:r>
      <w:r>
        <w:rPr>
          <w:b w:val="0"/>
          <w:color w:val="000009"/>
          <w:sz w:val="28"/>
        </w:rPr>
        <w:t>similar</w:t>
      </w:r>
      <w:r>
        <w:rPr>
          <w:b w:val="0"/>
          <w:color w:val="000009"/>
          <w:spacing w:val="43"/>
          <w:sz w:val="28"/>
        </w:rPr>
        <w:t> </w:t>
      </w:r>
      <w:r>
        <w:rPr>
          <w:b w:val="0"/>
          <w:color w:val="000009"/>
          <w:sz w:val="28"/>
        </w:rPr>
        <w:t>work,</w:t>
      </w:r>
      <w:r>
        <w:rPr>
          <w:b w:val="0"/>
          <w:color w:val="000009"/>
          <w:spacing w:val="44"/>
          <w:sz w:val="28"/>
        </w:rPr>
        <w:t> </w:t>
      </w:r>
      <w:r>
        <w:rPr>
          <w:b w:val="0"/>
          <w:color w:val="000009"/>
          <w:sz w:val="28"/>
        </w:rPr>
        <w:t>it</w:t>
      </w:r>
      <w:r>
        <w:rPr>
          <w:b w:val="0"/>
          <w:color w:val="000009"/>
          <w:spacing w:val="44"/>
          <w:sz w:val="28"/>
        </w:rPr>
        <w:t> </w:t>
      </w:r>
      <w:r>
        <w:rPr>
          <w:b w:val="0"/>
          <w:color w:val="000009"/>
          <w:sz w:val="28"/>
        </w:rPr>
        <w:t>is</w:t>
      </w:r>
      <w:r>
        <w:rPr>
          <w:b w:val="0"/>
          <w:color w:val="000009"/>
          <w:spacing w:val="43"/>
          <w:sz w:val="28"/>
        </w:rPr>
        <w:t> </w:t>
      </w:r>
      <w:r>
        <w:rPr>
          <w:b w:val="0"/>
          <w:color w:val="000009"/>
          <w:sz w:val="28"/>
        </w:rPr>
        <w:t>difficult</w:t>
      </w:r>
      <w:r>
        <w:rPr>
          <w:b w:val="0"/>
          <w:color w:val="000009"/>
          <w:spacing w:val="45"/>
          <w:sz w:val="28"/>
        </w:rPr>
        <w:t> </w:t>
      </w:r>
      <w:r>
        <w:rPr>
          <w:b w:val="0"/>
          <w:color w:val="000009"/>
          <w:sz w:val="28"/>
        </w:rPr>
        <w:t>to</w:t>
      </w:r>
      <w:r>
        <w:rPr>
          <w:b w:val="0"/>
          <w:color w:val="000009"/>
          <w:spacing w:val="44"/>
          <w:sz w:val="28"/>
        </w:rPr>
        <w:t> </w:t>
      </w:r>
      <w:r>
        <w:rPr>
          <w:b w:val="0"/>
          <w:color w:val="000009"/>
          <w:sz w:val="28"/>
        </w:rPr>
        <w:t>comprehend</w:t>
      </w:r>
    </w:p>
    <w:p>
      <w:pPr>
        <w:spacing w:after="0" w:line="491" w:lineRule="auto"/>
        <w:jc w:val="both"/>
        <w:rPr>
          <w:sz w:val="28"/>
        </w:rPr>
        <w:sectPr>
          <w:pgSz w:w="12240" w:h="15840"/>
          <w:pgMar w:header="0" w:footer="975" w:top="1060" w:bottom="1220" w:left="940" w:right="1020"/>
        </w:sectPr>
      </w:pPr>
    </w:p>
    <w:p>
      <w:pPr>
        <w:pStyle w:val="BodyText"/>
        <w:spacing w:line="491" w:lineRule="auto" w:before="72"/>
        <w:ind w:left="764" w:right="121"/>
        <w:jc w:val="both"/>
        <w:rPr>
          <w:b w:val="0"/>
        </w:rPr>
      </w:pPr>
      <w:r>
        <w:rPr>
          <w:b w:val="0"/>
          <w:color w:val="000009"/>
        </w:rPr>
        <w:t>the grant of compensation to him in ratio to the disability to the whole body. The appellant is therefore held entitled to compensation for loss of future earning based on his 75% permanent physical functional disability recalculated with the salary of Rs.5,500/­with multiplier of 14 at Rs. 6,93,000/­.</w:t>
      </w:r>
    </w:p>
    <w:p>
      <w:pPr>
        <w:pStyle w:val="BodyText"/>
        <w:rPr>
          <w:b w:val="0"/>
          <w:sz w:val="34"/>
        </w:rPr>
      </w:pPr>
    </w:p>
    <w:p>
      <w:pPr>
        <w:pStyle w:val="ListParagraph"/>
        <w:numPr>
          <w:ilvl w:val="0"/>
          <w:numId w:val="1"/>
        </w:numPr>
        <w:tabs>
          <w:tab w:pos="1584" w:val="left" w:leader="none"/>
        </w:tabs>
        <w:spacing w:line="499" w:lineRule="auto" w:before="292" w:after="0"/>
        <w:ind w:left="764" w:right="113" w:firstLine="0"/>
        <w:jc w:val="both"/>
        <w:rPr>
          <w:b w:val="0"/>
          <w:sz w:val="28"/>
        </w:rPr>
      </w:pPr>
      <w:r>
        <w:rPr>
          <w:b/>
          <w:i/>
          <w:color w:val="000009"/>
          <w:sz w:val="28"/>
        </w:rPr>
        <w:t>R</w:t>
      </w:r>
      <w:r>
        <w:rPr>
          <w:b/>
          <w:i/>
          <w:smallCaps/>
          <w:color w:val="000009"/>
          <w:sz w:val="28"/>
        </w:rPr>
        <w:t>a</w:t>
      </w:r>
      <w:r>
        <w:rPr>
          <w:b/>
          <w:i/>
          <w:smallCaps w:val="0"/>
          <w:color w:val="000009"/>
          <w:sz w:val="28"/>
        </w:rPr>
        <w:t>j Kum</w:t>
      </w:r>
      <w:r>
        <w:rPr>
          <w:b/>
          <w:i/>
          <w:smallCaps/>
          <w:color w:val="000009"/>
          <w:sz w:val="28"/>
        </w:rPr>
        <w:t>a</w:t>
      </w:r>
      <w:r>
        <w:rPr>
          <w:b/>
          <w:i/>
          <w:smallCaps w:val="0"/>
          <w:color w:val="000009"/>
          <w:sz w:val="28"/>
        </w:rPr>
        <w:t>r vs. A</w:t>
      </w:r>
      <w:r>
        <w:rPr>
          <w:b/>
          <w:i/>
          <w:smallCaps/>
          <w:color w:val="000009"/>
          <w:sz w:val="28"/>
        </w:rPr>
        <w:t>ja</w:t>
      </w:r>
      <w:r>
        <w:rPr>
          <w:b/>
          <w:i/>
          <w:smallCaps w:val="0"/>
          <w:color w:val="000009"/>
          <w:sz w:val="28"/>
        </w:rPr>
        <w:t>y Kum</w:t>
      </w:r>
      <w:r>
        <w:rPr>
          <w:b/>
          <w:i/>
          <w:smallCaps/>
          <w:color w:val="000009"/>
          <w:sz w:val="28"/>
        </w:rPr>
        <w:t>a</w:t>
      </w:r>
      <w:r>
        <w:rPr>
          <w:b/>
          <w:i/>
          <w:smallCaps w:val="0"/>
          <w:color w:val="000009"/>
          <w:sz w:val="28"/>
        </w:rPr>
        <w:t>r </w:t>
      </w:r>
      <w:r>
        <w:rPr>
          <w:b/>
          <w:i/>
          <w:smallCaps/>
          <w:color w:val="000009"/>
          <w:sz w:val="28"/>
        </w:rPr>
        <w:t>a</w:t>
      </w:r>
      <w:r>
        <w:rPr>
          <w:b/>
          <w:i/>
          <w:smallCaps w:val="0"/>
          <w:color w:val="000009"/>
          <w:sz w:val="28"/>
        </w:rPr>
        <w:t>nd </w:t>
      </w:r>
      <w:r>
        <w:rPr>
          <w:b/>
          <w:i/>
          <w:smallCaps/>
          <w:color w:val="000009"/>
          <w:sz w:val="28"/>
        </w:rPr>
        <w:t>a</w:t>
      </w:r>
      <w:r>
        <w:rPr>
          <w:b/>
          <w:i/>
          <w:smallCaps w:val="0"/>
          <w:color w:val="000009"/>
          <w:sz w:val="28"/>
        </w:rPr>
        <w:t>nother, </w:t>
      </w:r>
      <w:r>
        <w:rPr>
          <w:b w:val="0"/>
          <w:smallCaps w:val="0"/>
          <w:color w:val="000009"/>
          <w:sz w:val="28"/>
        </w:rPr>
        <w:t>2011 (1) SCC 343 lucidly sets out the principles for grant of compensation in cases of permanent physical functional disability as</w:t>
      </w:r>
      <w:r>
        <w:rPr>
          <w:b w:val="0"/>
          <w:smallCaps w:val="0"/>
          <w:color w:val="000009"/>
          <w:spacing w:val="-6"/>
          <w:sz w:val="28"/>
        </w:rPr>
        <w:t> </w:t>
      </w:r>
      <w:r>
        <w:rPr>
          <w:b w:val="0"/>
          <w:smallCaps w:val="0"/>
          <w:color w:val="000009"/>
          <w:sz w:val="28"/>
        </w:rPr>
        <w:t>follows:</w:t>
      </w:r>
    </w:p>
    <w:p>
      <w:pPr>
        <w:pStyle w:val="BodyText"/>
        <w:spacing w:line="247" w:lineRule="auto" w:before="305"/>
        <w:ind w:left="1843" w:right="734"/>
        <w:jc w:val="both"/>
        <w:rPr>
          <w:b w:val="0"/>
        </w:rPr>
      </w:pPr>
      <w:r>
        <w:rPr>
          <w:b w:val="0"/>
          <w:color w:val="000009"/>
        </w:rPr>
        <w:t>“10. Where the claimant suffers a permanent disability as a result of injuries, the assessment of compensation under the head of loss of future earnings would depend upon the effect and impact of such permanent disability on his earning capacity. The Tribunal should not mechanically apply the percentage of permanent disability as the percentage of economic loss or loss of earning capacity. In most of the cases, the percentage of economic loss, that is, the percentage of loss of earning capacity, arising from a permanent disability will be different from the percentage of permanent disability. Some Tribunals wrongly assume that in all cases, a particular extent (percentage) of permanent disability would result in a corresponding loss of earning capacity, and consequently, if the evidence produced show 45% as the permanent disability, will hold that there is 45% loss of future earning capacity. In most of the cases, equating the extent (percentage) of loss of earning capacity to the extent (percentage)</w:t>
      </w:r>
      <w:r>
        <w:rPr>
          <w:b w:val="0"/>
          <w:color w:val="000009"/>
          <w:spacing w:val="16"/>
        </w:rPr>
        <w:t> </w:t>
      </w:r>
      <w:r>
        <w:rPr>
          <w:b w:val="0"/>
          <w:color w:val="000009"/>
        </w:rPr>
        <w:t>of</w:t>
      </w:r>
    </w:p>
    <w:p>
      <w:pPr>
        <w:spacing w:after="0" w:line="247" w:lineRule="auto"/>
        <w:jc w:val="both"/>
        <w:sectPr>
          <w:pgSz w:w="12240" w:h="15840"/>
          <w:pgMar w:header="0" w:footer="975" w:top="1060" w:bottom="1220" w:left="940" w:right="1020"/>
        </w:sectPr>
      </w:pPr>
    </w:p>
    <w:p>
      <w:pPr>
        <w:pStyle w:val="BodyText"/>
        <w:spacing w:line="247" w:lineRule="auto" w:before="72"/>
        <w:ind w:left="1843" w:right="713"/>
        <w:rPr>
          <w:b w:val="0"/>
        </w:rPr>
      </w:pPr>
      <w:r>
        <w:rPr>
          <w:b w:val="0"/>
          <w:color w:val="000009"/>
        </w:rPr>
        <w:t>permanent disability will result in award of either too low or too high a compensation.</w:t>
      </w:r>
    </w:p>
    <w:p>
      <w:pPr>
        <w:pStyle w:val="BodyText"/>
        <w:spacing w:before="4"/>
        <w:rPr>
          <w:b w:val="0"/>
          <w:sz w:val="35"/>
        </w:rPr>
      </w:pPr>
    </w:p>
    <w:p>
      <w:pPr>
        <w:pStyle w:val="ListParagraph"/>
        <w:numPr>
          <w:ilvl w:val="0"/>
          <w:numId w:val="1"/>
        </w:numPr>
        <w:tabs>
          <w:tab w:pos="2383" w:val="left" w:leader="none"/>
        </w:tabs>
        <w:spacing w:line="247" w:lineRule="auto" w:before="0" w:after="0"/>
        <w:ind w:left="1843" w:right="730" w:firstLine="0"/>
        <w:jc w:val="both"/>
        <w:rPr>
          <w:b w:val="0"/>
          <w:sz w:val="28"/>
        </w:rPr>
      </w:pPr>
      <w:r>
        <w:rPr>
          <w:b w:val="0"/>
          <w:color w:val="000009"/>
          <w:sz w:val="28"/>
        </w:rPr>
        <w:t>What requires to be assessed by the Tribunal is the effect of the permanent disability on the earning capacity of the injured; and after assessing the loss of earning capacity in terms of a percentage of the income, it has to be quantified in terms of money, to arrive at the future loss of earnings (by applying the standard multiplier method used to determine loss of dependency). We may however note that in some cases, on appreciation of evidence and assessment,</w:t>
      </w:r>
      <w:r>
        <w:rPr>
          <w:b w:val="0"/>
          <w:color w:val="000009"/>
          <w:spacing w:val="65"/>
          <w:sz w:val="28"/>
        </w:rPr>
        <w:t> </w:t>
      </w:r>
      <w:r>
        <w:rPr>
          <w:b w:val="0"/>
          <w:color w:val="000009"/>
          <w:sz w:val="28"/>
        </w:rPr>
        <w:t>the Tribunal may find that the percentage of loss of earning capacity as a result of the permanent disability, is approximately the same as the percentage of permanent disability in which case, of course, the Tribunal will adopt the said percentage for determination of compensation. (See for example, the decisions of this Court in </w:t>
      </w:r>
      <w:r>
        <w:rPr>
          <w:b w:val="0"/>
          <w:i/>
          <w:color w:val="000009"/>
          <w:sz w:val="28"/>
        </w:rPr>
        <w:t>Arvind Kumar Mishra </w:t>
      </w:r>
      <w:r>
        <w:rPr>
          <w:b w:val="0"/>
          <w:color w:val="000009"/>
          <w:sz w:val="28"/>
        </w:rPr>
        <w:t>v. </w:t>
      </w:r>
      <w:r>
        <w:rPr>
          <w:b w:val="0"/>
          <w:i/>
          <w:color w:val="000009"/>
          <w:sz w:val="28"/>
        </w:rPr>
        <w:t>New India Assurance </w:t>
      </w:r>
      <w:r>
        <w:rPr>
          <w:b w:val="0"/>
          <w:i/>
          <w:color w:val="000009"/>
          <w:sz w:val="28"/>
        </w:rPr>
        <w:t>Co. Ltd. </w:t>
      </w:r>
      <w:r>
        <w:rPr>
          <w:b w:val="0"/>
          <w:color w:val="000009"/>
          <w:sz w:val="28"/>
        </w:rPr>
        <w:t>and </w:t>
      </w:r>
      <w:r>
        <w:rPr>
          <w:b w:val="0"/>
          <w:i/>
          <w:color w:val="000009"/>
          <w:sz w:val="28"/>
        </w:rPr>
        <w:t>Yadava Kumar </w:t>
      </w:r>
      <w:r>
        <w:rPr>
          <w:b w:val="0"/>
          <w:color w:val="000009"/>
          <w:sz w:val="28"/>
        </w:rPr>
        <w:t>v. </w:t>
      </w:r>
      <w:r>
        <w:rPr>
          <w:b w:val="0"/>
          <w:i/>
          <w:color w:val="000009"/>
          <w:sz w:val="28"/>
        </w:rPr>
        <w:t>National Insurance Co. </w:t>
      </w:r>
      <w:r>
        <w:rPr>
          <w:b w:val="0"/>
          <w:i/>
          <w:color w:val="000009"/>
          <w:sz w:val="28"/>
        </w:rPr>
        <w:t>Ltd.</w:t>
      </w:r>
      <w:r>
        <w:rPr>
          <w:b w:val="0"/>
          <w:color w:val="000009"/>
          <w:sz w:val="28"/>
        </w:rPr>
        <w:t>)</w:t>
      </w:r>
    </w:p>
    <w:p>
      <w:pPr>
        <w:pStyle w:val="BodyText"/>
        <w:tabs>
          <w:tab w:pos="5803" w:val="left" w:leader="none"/>
          <w:tab w:pos="8590" w:val="right" w:leader="none"/>
        </w:tabs>
        <w:spacing w:before="421"/>
        <w:ind w:left="3284"/>
        <w:rPr>
          <w:b w:val="0"/>
        </w:rPr>
      </w:pPr>
      <w:r>
        <w:rPr>
          <w:b w:val="0"/>
          <w:color w:val="000009"/>
        </w:rPr>
        <w:t>xxxx</w:t>
        <w:tab/>
        <w:t>xxxx</w:t>
        <w:tab/>
        <w:t>xxxx</w:t>
      </w:r>
    </w:p>
    <w:p>
      <w:pPr>
        <w:pStyle w:val="ListParagraph"/>
        <w:numPr>
          <w:ilvl w:val="0"/>
          <w:numId w:val="2"/>
        </w:numPr>
        <w:tabs>
          <w:tab w:pos="2523" w:val="left" w:leader="none"/>
        </w:tabs>
        <w:spacing w:line="247" w:lineRule="auto" w:before="426" w:after="0"/>
        <w:ind w:left="1843" w:right="726" w:firstLine="0"/>
        <w:jc w:val="both"/>
        <w:rPr>
          <w:b w:val="0"/>
          <w:sz w:val="28"/>
        </w:rPr>
      </w:pPr>
      <w:r>
        <w:rPr>
          <w:b w:val="0"/>
          <w:color w:val="000009"/>
          <w:sz w:val="28"/>
        </w:rPr>
        <w:t>Ascertainment of the effect of the permanent disability on the actual earning capacity involves three steps. The Tribunal has to first ascertain what activities the claimant could carry on in spite of the permanent disability and what he could not do as a result of the permanent disability (this is also relevant for awarding compensation under the head of loss of amenities of life). The second step is to ascertain his avocation, profession and nature of work before the accident, as also his age. The third step is to find out whether </w:t>
      </w:r>
      <w:r>
        <w:rPr>
          <w:b w:val="0"/>
          <w:color w:val="000009"/>
          <w:spacing w:val="4"/>
          <w:sz w:val="28"/>
        </w:rPr>
        <w:t>(</w:t>
      </w:r>
      <w:r>
        <w:rPr>
          <w:b w:val="0"/>
          <w:i/>
          <w:color w:val="000009"/>
          <w:spacing w:val="4"/>
          <w:sz w:val="28"/>
        </w:rPr>
        <w:t>i</w:t>
      </w:r>
      <w:r>
        <w:rPr>
          <w:b w:val="0"/>
          <w:color w:val="000009"/>
          <w:spacing w:val="4"/>
          <w:sz w:val="28"/>
        </w:rPr>
        <w:t>) </w:t>
      </w:r>
      <w:r>
        <w:rPr>
          <w:b w:val="0"/>
          <w:color w:val="000009"/>
          <w:sz w:val="28"/>
        </w:rPr>
        <w:t>the claimant is totally disabled from earning any kind of livelihood, or (</w:t>
      </w:r>
      <w:r>
        <w:rPr>
          <w:b w:val="0"/>
          <w:i/>
          <w:color w:val="000009"/>
          <w:sz w:val="28"/>
        </w:rPr>
        <w:t>ii</w:t>
      </w:r>
      <w:r>
        <w:rPr>
          <w:b w:val="0"/>
          <w:color w:val="000009"/>
          <w:sz w:val="28"/>
        </w:rPr>
        <w:t>) whether in spite of the permanent disability, the claimant could still effectively carry on the activities and functions, which he was earlier carrying</w:t>
      </w:r>
      <w:r>
        <w:rPr>
          <w:b w:val="0"/>
          <w:color w:val="000009"/>
          <w:spacing w:val="52"/>
          <w:sz w:val="28"/>
        </w:rPr>
        <w:t> </w:t>
      </w:r>
      <w:r>
        <w:rPr>
          <w:b w:val="0"/>
          <w:color w:val="000009"/>
          <w:sz w:val="28"/>
        </w:rPr>
        <w:t>on,</w:t>
      </w:r>
      <w:r>
        <w:rPr>
          <w:b w:val="0"/>
          <w:color w:val="000009"/>
          <w:spacing w:val="54"/>
          <w:sz w:val="28"/>
        </w:rPr>
        <w:t> </w:t>
      </w:r>
      <w:r>
        <w:rPr>
          <w:b w:val="0"/>
          <w:color w:val="000009"/>
          <w:sz w:val="28"/>
        </w:rPr>
        <w:t>or</w:t>
      </w:r>
      <w:r>
        <w:rPr>
          <w:b w:val="0"/>
          <w:color w:val="000009"/>
          <w:spacing w:val="53"/>
          <w:sz w:val="28"/>
        </w:rPr>
        <w:t> </w:t>
      </w:r>
      <w:r>
        <w:rPr>
          <w:b w:val="0"/>
          <w:color w:val="000009"/>
          <w:sz w:val="28"/>
        </w:rPr>
        <w:t>(</w:t>
      </w:r>
      <w:r>
        <w:rPr>
          <w:b w:val="0"/>
          <w:i/>
          <w:color w:val="000009"/>
          <w:sz w:val="28"/>
        </w:rPr>
        <w:t>iii</w:t>
      </w:r>
      <w:r>
        <w:rPr>
          <w:b w:val="0"/>
          <w:color w:val="000009"/>
          <w:sz w:val="28"/>
        </w:rPr>
        <w:t>)</w:t>
      </w:r>
      <w:r>
        <w:rPr>
          <w:b w:val="0"/>
          <w:color w:val="000009"/>
          <w:spacing w:val="53"/>
          <w:sz w:val="28"/>
        </w:rPr>
        <w:t> </w:t>
      </w:r>
      <w:r>
        <w:rPr>
          <w:b w:val="0"/>
          <w:color w:val="000009"/>
          <w:sz w:val="28"/>
        </w:rPr>
        <w:t>whether</w:t>
      </w:r>
      <w:r>
        <w:rPr>
          <w:b w:val="0"/>
          <w:color w:val="000009"/>
          <w:spacing w:val="52"/>
          <w:sz w:val="28"/>
        </w:rPr>
        <w:t> </w:t>
      </w:r>
      <w:r>
        <w:rPr>
          <w:b w:val="0"/>
          <w:color w:val="000009"/>
          <w:sz w:val="28"/>
        </w:rPr>
        <w:t>he</w:t>
      </w:r>
      <w:r>
        <w:rPr>
          <w:b w:val="0"/>
          <w:color w:val="000009"/>
          <w:spacing w:val="55"/>
          <w:sz w:val="28"/>
        </w:rPr>
        <w:t> </w:t>
      </w:r>
      <w:r>
        <w:rPr>
          <w:b w:val="0"/>
          <w:color w:val="000009"/>
          <w:sz w:val="28"/>
        </w:rPr>
        <w:t>was</w:t>
      </w:r>
      <w:r>
        <w:rPr>
          <w:b w:val="0"/>
          <w:color w:val="000009"/>
          <w:spacing w:val="52"/>
          <w:sz w:val="28"/>
        </w:rPr>
        <w:t> </w:t>
      </w:r>
      <w:r>
        <w:rPr>
          <w:b w:val="0"/>
          <w:color w:val="000009"/>
          <w:sz w:val="28"/>
        </w:rPr>
        <w:t>prevented</w:t>
      </w:r>
      <w:r>
        <w:rPr>
          <w:b w:val="0"/>
          <w:color w:val="000009"/>
          <w:spacing w:val="54"/>
          <w:sz w:val="28"/>
        </w:rPr>
        <w:t> </w:t>
      </w:r>
      <w:r>
        <w:rPr>
          <w:b w:val="0"/>
          <w:color w:val="000009"/>
          <w:sz w:val="28"/>
        </w:rPr>
        <w:t>or</w:t>
      </w:r>
    </w:p>
    <w:p>
      <w:pPr>
        <w:spacing w:after="0" w:line="247" w:lineRule="auto"/>
        <w:jc w:val="both"/>
        <w:rPr>
          <w:sz w:val="28"/>
        </w:rPr>
        <w:sectPr>
          <w:pgSz w:w="12240" w:h="15840"/>
          <w:pgMar w:header="0" w:footer="975" w:top="1060" w:bottom="1160" w:left="940" w:right="1020"/>
        </w:sectPr>
      </w:pPr>
    </w:p>
    <w:p>
      <w:pPr>
        <w:pStyle w:val="BodyText"/>
        <w:spacing w:line="247" w:lineRule="auto" w:before="72"/>
        <w:ind w:left="1843" w:right="737"/>
        <w:jc w:val="both"/>
        <w:rPr>
          <w:b w:val="0"/>
        </w:rPr>
      </w:pPr>
      <w:r>
        <w:rPr>
          <w:b w:val="0"/>
          <w:color w:val="000009"/>
        </w:rPr>
        <w:t>restricted from discharging his previous activities and functions, but could carry on some other or lesser scale of activities and functions so that he continues to earn or can continue to earn his livelihood.</w:t>
      </w:r>
    </w:p>
    <w:p>
      <w:pPr>
        <w:pStyle w:val="BodyText"/>
        <w:spacing w:before="1"/>
        <w:rPr>
          <w:b w:val="0"/>
          <w:sz w:val="35"/>
        </w:rPr>
      </w:pPr>
    </w:p>
    <w:p>
      <w:pPr>
        <w:pStyle w:val="ListParagraph"/>
        <w:numPr>
          <w:ilvl w:val="0"/>
          <w:numId w:val="2"/>
        </w:numPr>
        <w:tabs>
          <w:tab w:pos="2481" w:val="left" w:leader="none"/>
        </w:tabs>
        <w:spacing w:line="247" w:lineRule="auto" w:before="0" w:after="0"/>
        <w:ind w:left="1843" w:right="730" w:firstLine="0"/>
        <w:jc w:val="both"/>
        <w:rPr>
          <w:b w:val="0"/>
          <w:sz w:val="28"/>
        </w:rPr>
      </w:pPr>
      <w:r>
        <w:rPr>
          <w:b w:val="0"/>
          <w:color w:val="000009"/>
          <w:sz w:val="28"/>
        </w:rPr>
        <w:t>For example, if the left hand of a claimant is amputated, the permanent physical or functional disablement may be assessed around 60%. If the claimant was a driver or a carpenter, the actual loss of earning capacity may virtually be hundred per cent, if he is neither able to drive or do carpentry. On the other hand, if the claimant was a clerk in government service, the loss of his left hand may not result in loss of employment and he may still be continued as a clerk as he could perform his clerical functions; and in that event the loss of earning capacity will not be 100% as in the case of a driver or carpenter, nor 60% which is the actual physical disability, but far less. In fact, there may not be any need to award any compensation under the head of “loss of future earnings”, if the claimant continues in government service, though he may be awarded compensation under the head of loss of amenities as a consequence of losing his hand. Sometimes the injured claimant may be continued in service, but may not be found suitable for discharging the duties attached to the post or job which he was earlier holding, on account of his disability, and may therefore be shifted to some other suitable but lesser post with lesser emoluments, in which case there should be a limited award under the head of loss of future earning capacity, taking note of the reduced earning</w:t>
      </w:r>
      <w:r>
        <w:rPr>
          <w:b w:val="0"/>
          <w:color w:val="000009"/>
          <w:spacing w:val="-1"/>
          <w:sz w:val="28"/>
        </w:rPr>
        <w:t> </w:t>
      </w:r>
      <w:r>
        <w:rPr>
          <w:b w:val="0"/>
          <w:color w:val="000009"/>
          <w:sz w:val="28"/>
        </w:rPr>
        <w:t>capacity.</w:t>
      </w:r>
    </w:p>
    <w:p>
      <w:pPr>
        <w:pStyle w:val="BodyText"/>
        <w:rPr>
          <w:b w:val="0"/>
          <w:sz w:val="34"/>
        </w:rPr>
      </w:pPr>
    </w:p>
    <w:p>
      <w:pPr>
        <w:pStyle w:val="BodyText"/>
        <w:spacing w:before="1"/>
        <w:rPr>
          <w:b w:val="0"/>
          <w:sz w:val="48"/>
        </w:rPr>
      </w:pPr>
    </w:p>
    <w:p>
      <w:pPr>
        <w:pStyle w:val="ListParagraph"/>
        <w:numPr>
          <w:ilvl w:val="0"/>
          <w:numId w:val="3"/>
        </w:numPr>
        <w:tabs>
          <w:tab w:pos="1483" w:val="left" w:leader="none"/>
          <w:tab w:pos="1484" w:val="left" w:leader="none"/>
          <w:tab w:pos="2149" w:val="left" w:leader="none"/>
          <w:tab w:pos="4469" w:val="left" w:leader="none"/>
          <w:tab w:pos="5259" w:val="left" w:leader="none"/>
          <w:tab w:pos="7138" w:val="left" w:leader="none"/>
          <w:tab w:pos="8905" w:val="left" w:leader="none"/>
        </w:tabs>
        <w:spacing w:line="542" w:lineRule="auto" w:before="0" w:after="0"/>
        <w:ind w:left="764" w:right="117" w:firstLine="0"/>
        <w:jc w:val="left"/>
        <w:rPr>
          <w:b w:val="0"/>
          <w:sz w:val="28"/>
        </w:rPr>
      </w:pPr>
      <w:r>
        <w:rPr>
          <w:b w:val="0"/>
          <w:color w:val="000009"/>
          <w:sz w:val="28"/>
        </w:rPr>
        <w:t>In</w:t>
        <w:tab/>
      </w:r>
      <w:r>
        <w:rPr>
          <w:b/>
          <w:i/>
          <w:color w:val="000009"/>
          <w:sz w:val="28"/>
        </w:rPr>
        <w:t>N</w:t>
      </w:r>
      <w:r>
        <w:rPr>
          <w:b/>
          <w:i/>
          <w:smallCaps/>
          <w:color w:val="000009"/>
          <w:sz w:val="28"/>
        </w:rPr>
        <w:t>agaraja</w:t>
      </w:r>
      <w:r>
        <w:rPr>
          <w:b/>
          <w:i/>
          <w:smallCaps w:val="0"/>
          <w:color w:val="000009"/>
          <w:sz w:val="28"/>
        </w:rPr>
        <w:t>pp</w:t>
      </w:r>
      <w:r>
        <w:rPr>
          <w:b/>
          <w:i/>
          <w:smallCaps/>
          <w:color w:val="000009"/>
          <w:sz w:val="28"/>
        </w:rPr>
        <w:t>a</w:t>
      </w:r>
      <w:r>
        <w:rPr>
          <w:b/>
          <w:i/>
          <w:smallCaps w:val="0"/>
          <w:color w:val="000009"/>
          <w:sz w:val="28"/>
        </w:rPr>
        <w:tab/>
        <w:t>vs.</w:t>
        <w:tab/>
        <w:t>Division</w:t>
      </w:r>
      <w:r>
        <w:rPr>
          <w:b/>
          <w:i/>
          <w:smallCaps/>
          <w:color w:val="000009"/>
          <w:sz w:val="28"/>
        </w:rPr>
        <w:t>a</w:t>
      </w:r>
      <w:r>
        <w:rPr>
          <w:b/>
          <w:i/>
          <w:smallCaps w:val="0"/>
          <w:color w:val="000009"/>
          <w:sz w:val="28"/>
        </w:rPr>
        <w:t>l</w:t>
        <w:tab/>
        <w:t>M</w:t>
      </w:r>
      <w:r>
        <w:rPr>
          <w:b/>
          <w:i/>
          <w:smallCaps/>
          <w:color w:val="000009"/>
          <w:sz w:val="28"/>
        </w:rPr>
        <w:t>a</w:t>
      </w:r>
      <w:r>
        <w:rPr>
          <w:b/>
          <w:i/>
          <w:smallCaps w:val="0"/>
          <w:color w:val="000009"/>
          <w:sz w:val="28"/>
        </w:rPr>
        <w:t>n</w:t>
      </w:r>
      <w:r>
        <w:rPr>
          <w:b/>
          <w:i/>
          <w:smallCaps/>
          <w:color w:val="000009"/>
          <w:sz w:val="28"/>
        </w:rPr>
        <w:t>a</w:t>
      </w:r>
      <w:r>
        <w:rPr>
          <w:b/>
          <w:i/>
          <w:smallCaps w:val="0"/>
          <w:color w:val="000009"/>
          <w:sz w:val="28"/>
        </w:rPr>
        <w:t>ger,</w:t>
        <w:tab/>
        <w:t>Orient</w:t>
      </w:r>
      <w:r>
        <w:rPr>
          <w:b/>
          <w:i/>
          <w:smallCaps/>
          <w:color w:val="000009"/>
          <w:sz w:val="28"/>
        </w:rPr>
        <w:t>a</w:t>
      </w:r>
      <w:r>
        <w:rPr>
          <w:b/>
          <w:i/>
          <w:smallCaps w:val="0"/>
          <w:color w:val="000009"/>
          <w:sz w:val="28"/>
        </w:rPr>
        <w:t>l </w:t>
      </w:r>
      <w:r>
        <w:rPr>
          <w:b/>
          <w:i/>
          <w:smallCaps w:val="0"/>
          <w:color w:val="000009"/>
          <w:sz w:val="28"/>
        </w:rPr>
        <w:t>Insu</w:t>
      </w:r>
      <w:r>
        <w:rPr>
          <w:b/>
          <w:i/>
          <w:smallCaps/>
          <w:color w:val="000009"/>
          <w:sz w:val="28"/>
        </w:rPr>
        <w:t>ra</w:t>
      </w:r>
      <w:r>
        <w:rPr>
          <w:b/>
          <w:i/>
          <w:smallCaps w:val="0"/>
          <w:color w:val="000009"/>
          <w:sz w:val="28"/>
        </w:rPr>
        <w:t>nce Comp</w:t>
      </w:r>
      <w:r>
        <w:rPr>
          <w:b/>
          <w:i/>
          <w:smallCaps/>
          <w:color w:val="000009"/>
          <w:sz w:val="28"/>
        </w:rPr>
        <w:t>a</w:t>
      </w:r>
      <w:r>
        <w:rPr>
          <w:b/>
          <w:i/>
          <w:smallCaps w:val="0"/>
          <w:color w:val="000009"/>
          <w:sz w:val="28"/>
        </w:rPr>
        <w:t>ny Limited</w:t>
      </w:r>
      <w:r>
        <w:rPr>
          <w:b w:val="0"/>
          <w:i/>
          <w:smallCaps w:val="0"/>
          <w:color w:val="000009"/>
          <w:sz w:val="28"/>
        </w:rPr>
        <w:t>, </w:t>
      </w:r>
      <w:r>
        <w:rPr>
          <w:b w:val="0"/>
          <w:smallCaps w:val="0"/>
          <w:color w:val="000009"/>
          <w:sz w:val="28"/>
        </w:rPr>
        <w:t>2011 (13) SCC 323, the</w:t>
      </w:r>
      <w:r>
        <w:rPr>
          <w:b w:val="0"/>
          <w:smallCaps w:val="0"/>
          <w:color w:val="000009"/>
          <w:spacing w:val="15"/>
          <w:sz w:val="28"/>
        </w:rPr>
        <w:t> </w:t>
      </w:r>
      <w:r>
        <w:rPr>
          <w:b w:val="0"/>
          <w:smallCaps w:val="0"/>
          <w:color w:val="000009"/>
          <w:sz w:val="28"/>
        </w:rPr>
        <w:t>physical</w:t>
      </w:r>
    </w:p>
    <w:p>
      <w:pPr>
        <w:spacing w:after="0" w:line="542" w:lineRule="auto"/>
        <w:jc w:val="left"/>
        <w:rPr>
          <w:sz w:val="28"/>
        </w:rPr>
        <w:sectPr>
          <w:pgSz w:w="12240" w:h="15840"/>
          <w:pgMar w:header="0" w:footer="975" w:top="1060" w:bottom="1220" w:left="940" w:right="1020"/>
        </w:sectPr>
      </w:pPr>
    </w:p>
    <w:p>
      <w:pPr>
        <w:pStyle w:val="BodyText"/>
        <w:spacing w:line="491" w:lineRule="auto" w:before="72"/>
        <w:ind w:left="764" w:right="123"/>
        <w:jc w:val="both"/>
        <w:rPr>
          <w:b w:val="0"/>
        </w:rPr>
      </w:pPr>
      <w:r>
        <w:rPr>
          <w:b w:val="0"/>
          <w:color w:val="000009"/>
        </w:rPr>
        <w:t>disability of the upper limb was determined as 68% in proportion to 22­23% of the whole­body. This court opined as follows:</w:t>
      </w:r>
    </w:p>
    <w:p>
      <w:pPr>
        <w:pStyle w:val="BodyText"/>
        <w:spacing w:line="247" w:lineRule="auto" w:before="40"/>
        <w:ind w:left="1484" w:right="733" w:hanging="12"/>
        <w:jc w:val="both"/>
        <w:rPr>
          <w:b w:val="0"/>
        </w:rPr>
      </w:pPr>
      <w:r>
        <w:rPr>
          <w:b w:val="0"/>
          <w:color w:val="000009"/>
        </w:rPr>
        <w:t>“9. On perusal of the doctor’s evidence with respect to the nature of injuries suffered by the appellant, the appellant was found, inter alia, to be suffering from the following disabilities as a result of the accident—“gross deformity of the left forearm, wrist and hand, wasting and weakness of the muscles of the left upper limb and shortening of the left upper limb by 1 cm”. As a result, the doctor stated that the appellant could not work as a coolie and could not also do any other manual work. The doctor assessed permanent residual physical disability of the upper limb at 68% and 22­23% of the whole</w:t>
      </w:r>
      <w:r>
        <w:rPr>
          <w:b w:val="0"/>
          <w:color w:val="000009"/>
          <w:spacing w:val="-1"/>
        </w:rPr>
        <w:t> </w:t>
      </w:r>
      <w:r>
        <w:rPr>
          <w:b w:val="0"/>
          <w:color w:val="000009"/>
        </w:rPr>
        <w:t>body.</w:t>
      </w:r>
    </w:p>
    <w:p>
      <w:pPr>
        <w:pStyle w:val="BodyText"/>
        <w:spacing w:before="1"/>
        <w:rPr>
          <w:b w:val="0"/>
          <w:sz w:val="34"/>
        </w:rPr>
      </w:pPr>
    </w:p>
    <w:p>
      <w:pPr>
        <w:pStyle w:val="BodyText"/>
        <w:spacing w:line="247" w:lineRule="auto"/>
        <w:ind w:left="1484" w:right="735" w:hanging="12"/>
        <w:jc w:val="both"/>
        <w:rPr>
          <w:b w:val="0"/>
        </w:rPr>
      </w:pPr>
      <w:r>
        <w:rPr>
          <w:b w:val="0"/>
          <w:color w:val="000009"/>
        </w:rPr>
        <w:t>10. The appellant is working as a manual labourer, for which he requires the use of both his hands. The fact that the accident has left him with one useless hand will severely affect his ability to perform his work as a coolie or any other manual work, and this has also been certified by the doctor. Thus, while awarding compensation it has to be kept in mind that the appellant is to do manual work for the rest of his life without full use of his left hand, and this is bound to affect the quality of his work and also his ability to find work considering his disability. Hence, while computing loss of future income, disability should be taken to be 68% and not 20%, as was done by the Tribunal and the High Court. Our view is supported by the ratio in </w:t>
      </w:r>
      <w:r>
        <w:rPr>
          <w:b w:val="0"/>
          <w:i/>
          <w:color w:val="000009"/>
        </w:rPr>
        <w:t>Raj Kumar </w:t>
      </w:r>
      <w:r>
        <w:rPr>
          <w:b w:val="0"/>
          <w:color w:val="000009"/>
        </w:rPr>
        <w:t>and from the fact that the appellant is severely hampered and perhaps forever handicapped from performing his occupation as a</w:t>
      </w:r>
      <w:r>
        <w:rPr>
          <w:b w:val="0"/>
          <w:color w:val="000009"/>
          <w:spacing w:val="-4"/>
        </w:rPr>
        <w:t> </w:t>
      </w:r>
      <w:r>
        <w:rPr>
          <w:b w:val="0"/>
          <w:color w:val="000009"/>
        </w:rPr>
        <w:t>coolie.”</w:t>
      </w:r>
    </w:p>
    <w:p>
      <w:pPr>
        <w:pStyle w:val="BodyText"/>
        <w:rPr>
          <w:b w:val="0"/>
          <w:sz w:val="34"/>
        </w:rPr>
      </w:pPr>
    </w:p>
    <w:p>
      <w:pPr>
        <w:pStyle w:val="BodyText"/>
        <w:spacing w:before="3"/>
        <w:rPr>
          <w:b w:val="0"/>
          <w:sz w:val="49"/>
        </w:rPr>
      </w:pPr>
    </w:p>
    <w:p>
      <w:pPr>
        <w:pStyle w:val="ListParagraph"/>
        <w:numPr>
          <w:ilvl w:val="0"/>
          <w:numId w:val="3"/>
        </w:numPr>
        <w:tabs>
          <w:tab w:pos="1483" w:val="left" w:leader="none"/>
          <w:tab w:pos="1484" w:val="left" w:leader="none"/>
          <w:tab w:pos="1551" w:val="left" w:leader="none"/>
          <w:tab w:pos="2846" w:val="left" w:leader="none"/>
          <w:tab w:pos="3901" w:val="left" w:leader="none"/>
          <w:tab w:pos="5170" w:val="left" w:leader="none"/>
          <w:tab w:pos="6711" w:val="left" w:leader="none"/>
          <w:tab w:pos="7626" w:val="left" w:leader="none"/>
          <w:tab w:pos="8950" w:val="left" w:leader="none"/>
          <w:tab w:pos="9719" w:val="left" w:leader="none"/>
        </w:tabs>
        <w:spacing w:line="491" w:lineRule="auto" w:before="0" w:after="0"/>
        <w:ind w:left="764" w:right="122" w:firstLine="0"/>
        <w:jc w:val="left"/>
        <w:rPr>
          <w:b w:val="0"/>
          <w:sz w:val="28"/>
        </w:rPr>
      </w:pPr>
      <w:r>
        <w:rPr>
          <w:b w:val="0"/>
          <w:color w:val="000009"/>
          <w:sz w:val="28"/>
        </w:rPr>
        <w:t>The High Court also erred in granting a sum of Rs.50,000/­ only</w:t>
        <w:tab/>
        <w:tab/>
        <w:t>towards</w:t>
        <w:tab/>
        <w:t>future</w:t>
        <w:tab/>
        <w:t>medical</w:t>
        <w:tab/>
        <w:t>expenses.</w:t>
        <w:tab/>
        <w:t>PW.3</w:t>
        <w:tab/>
        <w:t>deposed</w:t>
        <w:tab/>
        <w:t>that</w:t>
        <w:tab/>
      </w:r>
      <w:r>
        <w:rPr>
          <w:b w:val="0"/>
          <w:color w:val="000009"/>
          <w:spacing w:val="-7"/>
          <w:sz w:val="28"/>
        </w:rPr>
        <w:t>the</w:t>
      </w:r>
    </w:p>
    <w:p>
      <w:pPr>
        <w:spacing w:after="0" w:line="491" w:lineRule="auto"/>
        <w:jc w:val="left"/>
        <w:rPr>
          <w:sz w:val="28"/>
        </w:rPr>
        <w:sectPr>
          <w:pgSz w:w="12240" w:h="15840"/>
          <w:pgMar w:header="0" w:footer="975" w:top="1060" w:bottom="1220" w:left="940" w:right="1020"/>
        </w:sectPr>
      </w:pPr>
    </w:p>
    <w:p>
      <w:pPr>
        <w:pStyle w:val="BodyText"/>
        <w:spacing w:line="491" w:lineRule="auto" w:before="72"/>
        <w:ind w:left="764" w:right="124"/>
        <w:jc w:val="both"/>
        <w:rPr>
          <w:b w:val="0"/>
        </w:rPr>
      </w:pPr>
      <w:r>
        <w:rPr>
          <w:b w:val="0"/>
          <w:color w:val="000009"/>
        </w:rPr>
        <w:t>appellant would require three more replacements of the artificial left leg during his lifetime. We consider it proper to enhance the same by Rs.2,50,000/­  in addition to that granted by the High Court.  The compensation granted towards loss of amenities is also enhanced to Rs.50,000/­ considering that the appellant was deprived of social mixing as deposed by</w:t>
      </w:r>
      <w:r>
        <w:rPr>
          <w:b w:val="0"/>
          <w:color w:val="000009"/>
          <w:spacing w:val="-3"/>
        </w:rPr>
        <w:t> </w:t>
      </w:r>
      <w:r>
        <w:rPr>
          <w:b w:val="0"/>
          <w:color w:val="000009"/>
        </w:rPr>
        <w:t>PW.3.</w:t>
      </w:r>
    </w:p>
    <w:p>
      <w:pPr>
        <w:pStyle w:val="BodyText"/>
        <w:rPr>
          <w:b w:val="0"/>
          <w:sz w:val="34"/>
        </w:rPr>
      </w:pPr>
    </w:p>
    <w:p>
      <w:pPr>
        <w:pStyle w:val="ListParagraph"/>
        <w:numPr>
          <w:ilvl w:val="0"/>
          <w:numId w:val="3"/>
        </w:numPr>
        <w:tabs>
          <w:tab w:pos="1483" w:val="left" w:leader="none"/>
          <w:tab w:pos="1484" w:val="left" w:leader="none"/>
          <w:tab w:pos="2512" w:val="left" w:leader="none"/>
          <w:tab w:pos="3196" w:val="left" w:leader="none"/>
          <w:tab w:pos="5349" w:val="left" w:leader="none"/>
          <w:tab w:pos="6754" w:val="left" w:leader="none"/>
          <w:tab w:pos="7325" w:val="left" w:leader="none"/>
          <w:tab w:pos="8009" w:val="left" w:leader="none"/>
          <w:tab w:pos="8898" w:val="left" w:leader="none"/>
          <w:tab w:pos="9927" w:val="left" w:leader="none"/>
        </w:tabs>
        <w:spacing w:line="491" w:lineRule="auto" w:before="276" w:after="3"/>
        <w:ind w:left="764" w:right="122" w:firstLine="0"/>
        <w:jc w:val="left"/>
        <w:rPr>
          <w:b w:val="0"/>
          <w:sz w:val="28"/>
        </w:rPr>
      </w:pPr>
      <w:r>
        <w:rPr>
          <w:b w:val="0"/>
          <w:color w:val="000009"/>
          <w:sz w:val="28"/>
        </w:rPr>
        <w:t>Thus,</w:t>
        <w:tab/>
        <w:t>the</w:t>
        <w:tab/>
        <w:t>compensation</w:t>
        <w:tab/>
        <w:t>awarded</w:t>
        <w:tab/>
        <w:t>by</w:t>
        <w:tab/>
        <w:t>the</w:t>
        <w:tab/>
        <w:t>High</w:t>
        <w:tab/>
        <w:t>Court</w:t>
        <w:tab/>
      </w:r>
      <w:r>
        <w:rPr>
          <w:b w:val="0"/>
          <w:color w:val="000009"/>
          <w:spacing w:val="-10"/>
          <w:sz w:val="28"/>
        </w:rPr>
        <w:t>is </w:t>
      </w:r>
      <w:r>
        <w:rPr>
          <w:b w:val="0"/>
          <w:color w:val="000009"/>
          <w:sz w:val="28"/>
        </w:rPr>
        <w:t>modified and recalculated as</w:t>
      </w:r>
      <w:r>
        <w:rPr>
          <w:b w:val="0"/>
          <w:color w:val="000009"/>
          <w:spacing w:val="-2"/>
          <w:sz w:val="28"/>
        </w:rPr>
        <w:t> </w:t>
      </w:r>
      <w:r>
        <w:rPr>
          <w:b w:val="0"/>
          <w:color w:val="000009"/>
          <w:sz w:val="28"/>
        </w:rPr>
        <w:t>under:</w:t>
      </w:r>
    </w:p>
    <w:tbl>
      <w:tblPr>
        <w:tblW w:w="0" w:type="auto"/>
        <w:jc w:val="left"/>
        <w:tblInd w:w="137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top w:w="0" w:type="dxa"/>
          <w:left w:w="0" w:type="dxa"/>
          <w:bottom w:w="0" w:type="dxa"/>
          <w:right w:w="0" w:type="dxa"/>
        </w:tblCellMar>
        <w:tblLook w:val="01E0"/>
      </w:tblPr>
      <w:tblGrid>
        <w:gridCol w:w="818"/>
        <w:gridCol w:w="6094"/>
        <w:gridCol w:w="1702"/>
      </w:tblGrid>
      <w:tr>
        <w:trPr>
          <w:trHeight w:val="726" w:hRule="atLeast"/>
        </w:trPr>
        <w:tc>
          <w:tcPr>
            <w:tcW w:w="818" w:type="dxa"/>
            <w:tcBorders>
              <w:left w:val="single" w:sz="4" w:space="0" w:color="000009"/>
              <w:right w:val="single" w:sz="4" w:space="0" w:color="000009"/>
            </w:tcBorders>
          </w:tcPr>
          <w:p>
            <w:pPr>
              <w:pStyle w:val="TableParagraph"/>
              <w:spacing w:line="240" w:lineRule="auto" w:before="12"/>
              <w:ind w:left="105"/>
              <w:rPr>
                <w:b/>
                <w:sz w:val="28"/>
              </w:rPr>
            </w:pPr>
            <w:r>
              <w:rPr>
                <w:b/>
                <w:color w:val="000009"/>
                <w:sz w:val="28"/>
              </w:rPr>
              <w:t>Sr.</w:t>
            </w:r>
          </w:p>
          <w:p>
            <w:pPr>
              <w:pStyle w:val="TableParagraph"/>
              <w:spacing w:line="240" w:lineRule="auto" w:before="38"/>
              <w:ind w:left="105"/>
              <w:rPr>
                <w:b/>
                <w:sz w:val="28"/>
              </w:rPr>
            </w:pPr>
            <w:r>
              <w:rPr>
                <w:b/>
                <w:color w:val="000009"/>
                <w:sz w:val="28"/>
              </w:rPr>
              <w:t>No.</w:t>
            </w:r>
          </w:p>
        </w:tc>
        <w:tc>
          <w:tcPr>
            <w:tcW w:w="6094" w:type="dxa"/>
            <w:tcBorders>
              <w:left w:val="single" w:sz="4" w:space="0" w:color="000009"/>
              <w:right w:val="single" w:sz="4" w:space="0" w:color="000009"/>
            </w:tcBorders>
          </w:tcPr>
          <w:p>
            <w:pPr>
              <w:pStyle w:val="TableParagraph"/>
              <w:spacing w:line="240" w:lineRule="auto" w:before="12"/>
              <w:ind w:left="103"/>
              <w:rPr>
                <w:b/>
                <w:sz w:val="28"/>
              </w:rPr>
            </w:pPr>
            <w:r>
              <w:rPr>
                <w:b/>
                <w:color w:val="000009"/>
                <w:sz w:val="28"/>
              </w:rPr>
              <w:t>Particulars</w:t>
            </w:r>
          </w:p>
        </w:tc>
        <w:tc>
          <w:tcPr>
            <w:tcW w:w="1702" w:type="dxa"/>
            <w:tcBorders>
              <w:left w:val="single" w:sz="4" w:space="0" w:color="000009"/>
              <w:right w:val="single" w:sz="4" w:space="0" w:color="000009"/>
            </w:tcBorders>
          </w:tcPr>
          <w:p>
            <w:pPr>
              <w:pStyle w:val="TableParagraph"/>
              <w:spacing w:line="240" w:lineRule="auto" w:before="12"/>
              <w:ind w:left="105"/>
              <w:rPr>
                <w:b/>
                <w:sz w:val="28"/>
              </w:rPr>
            </w:pPr>
            <w:r>
              <w:rPr>
                <w:b/>
                <w:color w:val="000009"/>
                <w:sz w:val="28"/>
              </w:rPr>
              <w:t>Amount</w:t>
            </w:r>
          </w:p>
          <w:p>
            <w:pPr>
              <w:pStyle w:val="TableParagraph"/>
              <w:spacing w:line="240" w:lineRule="auto" w:before="38"/>
              <w:ind w:left="105"/>
              <w:rPr>
                <w:b/>
                <w:sz w:val="28"/>
              </w:rPr>
            </w:pPr>
            <w:r>
              <w:rPr>
                <w:b/>
                <w:color w:val="000009"/>
                <w:sz w:val="28"/>
              </w:rPr>
              <w:t>(in Rs.)</w:t>
            </w:r>
          </w:p>
        </w:tc>
      </w:tr>
      <w:tr>
        <w:trPr>
          <w:trHeight w:val="332" w:hRule="atLeast"/>
        </w:trPr>
        <w:tc>
          <w:tcPr>
            <w:tcW w:w="818" w:type="dxa"/>
            <w:tcBorders>
              <w:left w:val="single" w:sz="4" w:space="0" w:color="000009"/>
              <w:right w:val="single" w:sz="4" w:space="0" w:color="000009"/>
            </w:tcBorders>
          </w:tcPr>
          <w:p>
            <w:pPr>
              <w:pStyle w:val="TableParagraph"/>
              <w:ind w:left="105"/>
              <w:rPr>
                <w:b w:val="0"/>
                <w:sz w:val="28"/>
              </w:rPr>
            </w:pPr>
            <w:r>
              <w:rPr>
                <w:b w:val="0"/>
                <w:color w:val="000009"/>
                <w:sz w:val="28"/>
              </w:rPr>
              <w:t>1.</w:t>
            </w:r>
          </w:p>
        </w:tc>
        <w:tc>
          <w:tcPr>
            <w:tcW w:w="6094" w:type="dxa"/>
            <w:tcBorders>
              <w:left w:val="single" w:sz="4" w:space="0" w:color="000009"/>
              <w:right w:val="single" w:sz="4" w:space="0" w:color="000009"/>
            </w:tcBorders>
          </w:tcPr>
          <w:p>
            <w:pPr>
              <w:pStyle w:val="TableParagraph"/>
              <w:ind w:left="103"/>
              <w:rPr>
                <w:b w:val="0"/>
                <w:sz w:val="28"/>
              </w:rPr>
            </w:pPr>
            <w:r>
              <w:rPr>
                <w:b w:val="0"/>
                <w:color w:val="000009"/>
                <w:sz w:val="28"/>
              </w:rPr>
              <w:t>Pain and sufferings</w:t>
            </w:r>
          </w:p>
        </w:tc>
        <w:tc>
          <w:tcPr>
            <w:tcW w:w="1702" w:type="dxa"/>
            <w:tcBorders>
              <w:left w:val="single" w:sz="4" w:space="0" w:color="000009"/>
              <w:right w:val="single" w:sz="4" w:space="0" w:color="000009"/>
            </w:tcBorders>
          </w:tcPr>
          <w:p>
            <w:pPr>
              <w:pStyle w:val="TableParagraph"/>
              <w:ind w:right="97"/>
              <w:jc w:val="right"/>
              <w:rPr>
                <w:b w:val="0"/>
                <w:sz w:val="28"/>
              </w:rPr>
            </w:pPr>
            <w:r>
              <w:rPr>
                <w:b w:val="0"/>
                <w:color w:val="000009"/>
                <w:sz w:val="28"/>
              </w:rPr>
              <w:t>1,00,000</w:t>
            </w:r>
          </w:p>
        </w:tc>
      </w:tr>
      <w:tr>
        <w:trPr>
          <w:trHeight w:val="331" w:hRule="atLeast"/>
        </w:trPr>
        <w:tc>
          <w:tcPr>
            <w:tcW w:w="818" w:type="dxa"/>
            <w:tcBorders>
              <w:left w:val="single" w:sz="4" w:space="0" w:color="000009"/>
              <w:right w:val="single" w:sz="4" w:space="0" w:color="000009"/>
            </w:tcBorders>
          </w:tcPr>
          <w:p>
            <w:pPr>
              <w:pStyle w:val="TableParagraph"/>
              <w:spacing w:line="311" w:lineRule="exact"/>
              <w:ind w:left="105"/>
              <w:rPr>
                <w:b w:val="0"/>
                <w:sz w:val="28"/>
              </w:rPr>
            </w:pPr>
            <w:r>
              <w:rPr>
                <w:b w:val="0"/>
                <w:color w:val="000009"/>
                <w:sz w:val="28"/>
              </w:rPr>
              <w:t>2.</w:t>
            </w:r>
          </w:p>
        </w:tc>
        <w:tc>
          <w:tcPr>
            <w:tcW w:w="6094" w:type="dxa"/>
            <w:tcBorders>
              <w:left w:val="single" w:sz="4" w:space="0" w:color="000009"/>
              <w:right w:val="single" w:sz="4" w:space="0" w:color="000009"/>
            </w:tcBorders>
          </w:tcPr>
          <w:p>
            <w:pPr>
              <w:pStyle w:val="TableParagraph"/>
              <w:spacing w:line="311" w:lineRule="exact"/>
              <w:ind w:left="103"/>
              <w:rPr>
                <w:b w:val="0"/>
                <w:sz w:val="28"/>
              </w:rPr>
            </w:pPr>
            <w:r>
              <w:rPr>
                <w:b w:val="0"/>
                <w:color w:val="000009"/>
                <w:sz w:val="28"/>
              </w:rPr>
              <w:t>Medical expenses</w:t>
            </w:r>
          </w:p>
        </w:tc>
        <w:tc>
          <w:tcPr>
            <w:tcW w:w="1702" w:type="dxa"/>
            <w:tcBorders>
              <w:left w:val="single" w:sz="4" w:space="0" w:color="000009"/>
              <w:right w:val="single" w:sz="4" w:space="0" w:color="000009"/>
            </w:tcBorders>
          </w:tcPr>
          <w:p>
            <w:pPr>
              <w:pStyle w:val="TableParagraph"/>
              <w:spacing w:line="311" w:lineRule="exact"/>
              <w:ind w:right="96"/>
              <w:jc w:val="right"/>
              <w:rPr>
                <w:b w:val="0"/>
                <w:sz w:val="28"/>
              </w:rPr>
            </w:pPr>
            <w:r>
              <w:rPr>
                <w:b w:val="0"/>
                <w:color w:val="000009"/>
                <w:sz w:val="28"/>
              </w:rPr>
              <w:t>7,350</w:t>
            </w:r>
          </w:p>
        </w:tc>
      </w:tr>
      <w:tr>
        <w:trPr>
          <w:trHeight w:val="333" w:hRule="atLeast"/>
        </w:trPr>
        <w:tc>
          <w:tcPr>
            <w:tcW w:w="818" w:type="dxa"/>
            <w:tcBorders>
              <w:left w:val="single" w:sz="4" w:space="0" w:color="000009"/>
              <w:right w:val="single" w:sz="4" w:space="0" w:color="000009"/>
            </w:tcBorders>
          </w:tcPr>
          <w:p>
            <w:pPr>
              <w:pStyle w:val="TableParagraph"/>
              <w:ind w:left="105"/>
              <w:rPr>
                <w:b w:val="0"/>
                <w:sz w:val="28"/>
              </w:rPr>
            </w:pPr>
            <w:r>
              <w:rPr>
                <w:b w:val="0"/>
                <w:color w:val="000009"/>
                <w:sz w:val="28"/>
              </w:rPr>
              <w:t>3.</w:t>
            </w:r>
          </w:p>
        </w:tc>
        <w:tc>
          <w:tcPr>
            <w:tcW w:w="6094" w:type="dxa"/>
            <w:tcBorders>
              <w:left w:val="single" w:sz="4" w:space="0" w:color="000009"/>
              <w:right w:val="single" w:sz="4" w:space="0" w:color="000009"/>
            </w:tcBorders>
          </w:tcPr>
          <w:p>
            <w:pPr>
              <w:pStyle w:val="TableParagraph"/>
              <w:ind w:left="103"/>
              <w:rPr>
                <w:b w:val="0"/>
                <w:sz w:val="28"/>
              </w:rPr>
            </w:pPr>
            <w:r>
              <w:rPr>
                <w:b w:val="0"/>
                <w:color w:val="000009"/>
                <w:sz w:val="28"/>
              </w:rPr>
              <w:t>Attendant charges</w:t>
            </w:r>
          </w:p>
        </w:tc>
        <w:tc>
          <w:tcPr>
            <w:tcW w:w="1702" w:type="dxa"/>
            <w:tcBorders>
              <w:left w:val="single" w:sz="4" w:space="0" w:color="000009"/>
              <w:right w:val="single" w:sz="4" w:space="0" w:color="000009"/>
            </w:tcBorders>
          </w:tcPr>
          <w:p>
            <w:pPr>
              <w:pStyle w:val="TableParagraph"/>
              <w:ind w:right="97"/>
              <w:jc w:val="right"/>
              <w:rPr>
                <w:b w:val="0"/>
                <w:sz w:val="28"/>
              </w:rPr>
            </w:pPr>
            <w:r>
              <w:rPr>
                <w:b w:val="0"/>
                <w:color w:val="000009"/>
                <w:sz w:val="28"/>
              </w:rPr>
              <w:t>21,000</w:t>
            </w:r>
          </w:p>
        </w:tc>
      </w:tr>
      <w:tr>
        <w:trPr>
          <w:trHeight w:val="1005" w:hRule="atLeast"/>
        </w:trPr>
        <w:tc>
          <w:tcPr>
            <w:tcW w:w="818" w:type="dxa"/>
            <w:tcBorders>
              <w:left w:val="single" w:sz="4" w:space="0" w:color="000009"/>
              <w:right w:val="single" w:sz="4" w:space="0" w:color="000009"/>
            </w:tcBorders>
          </w:tcPr>
          <w:p>
            <w:pPr>
              <w:pStyle w:val="TableParagraph"/>
              <w:spacing w:line="323" w:lineRule="exact"/>
              <w:ind w:left="105"/>
              <w:rPr>
                <w:b w:val="0"/>
                <w:sz w:val="28"/>
              </w:rPr>
            </w:pPr>
            <w:r>
              <w:rPr>
                <w:b w:val="0"/>
                <w:color w:val="000009"/>
                <w:sz w:val="28"/>
              </w:rPr>
              <w:t>4.</w:t>
            </w:r>
          </w:p>
        </w:tc>
        <w:tc>
          <w:tcPr>
            <w:tcW w:w="6094" w:type="dxa"/>
            <w:tcBorders>
              <w:left w:val="single" w:sz="4" w:space="0" w:color="000009"/>
              <w:right w:val="single" w:sz="4" w:space="0" w:color="000009"/>
            </w:tcBorders>
          </w:tcPr>
          <w:p>
            <w:pPr>
              <w:pStyle w:val="TableParagraph"/>
              <w:tabs>
                <w:tab w:pos="949" w:val="left" w:leader="none"/>
                <w:tab w:pos="1427" w:val="left" w:leader="none"/>
                <w:tab w:pos="2839" w:val="left" w:leader="none"/>
                <w:tab w:pos="3976" w:val="left" w:leader="none"/>
                <w:tab w:pos="4646" w:val="left" w:leader="none"/>
                <w:tab w:pos="5733" w:val="left" w:leader="none"/>
              </w:tabs>
              <w:spacing w:line="323" w:lineRule="exact"/>
              <w:ind w:left="103"/>
              <w:rPr>
                <w:b w:val="0"/>
                <w:sz w:val="28"/>
              </w:rPr>
            </w:pPr>
            <w:r>
              <w:rPr>
                <w:b w:val="0"/>
                <w:color w:val="000009"/>
                <w:sz w:val="28"/>
              </w:rPr>
              <w:t>Loss</w:t>
              <w:tab/>
              <w:t>of</w:t>
              <w:tab/>
              <w:t>earnings</w:t>
              <w:tab/>
              <w:t>during</w:t>
              <w:tab/>
              <w:t>the</w:t>
              <w:tab/>
              <w:t>period</w:t>
              <w:tab/>
              <w:t>of</w:t>
            </w:r>
          </w:p>
          <w:p>
            <w:pPr>
              <w:pStyle w:val="TableParagraph"/>
              <w:spacing w:line="240" w:lineRule="auto" w:before="4"/>
              <w:rPr>
                <w:b w:val="0"/>
                <w:sz w:val="29"/>
              </w:rPr>
            </w:pPr>
          </w:p>
          <w:p>
            <w:pPr>
              <w:pStyle w:val="TableParagraph"/>
              <w:spacing w:line="317" w:lineRule="exact" w:before="1"/>
              <w:ind w:left="103"/>
              <w:rPr>
                <w:b w:val="0"/>
                <w:sz w:val="28"/>
              </w:rPr>
            </w:pPr>
            <w:r>
              <w:rPr>
                <w:b w:val="0"/>
                <w:color w:val="000009"/>
                <w:sz w:val="28"/>
              </w:rPr>
              <w:t>treatment</w:t>
            </w:r>
          </w:p>
        </w:tc>
        <w:tc>
          <w:tcPr>
            <w:tcW w:w="1702" w:type="dxa"/>
            <w:tcBorders>
              <w:left w:val="single" w:sz="4" w:space="0" w:color="000009"/>
              <w:right w:val="single" w:sz="4" w:space="0" w:color="000009"/>
            </w:tcBorders>
          </w:tcPr>
          <w:p>
            <w:pPr>
              <w:pStyle w:val="TableParagraph"/>
              <w:spacing w:line="323" w:lineRule="exact"/>
              <w:ind w:right="97"/>
              <w:jc w:val="right"/>
              <w:rPr>
                <w:b w:val="0"/>
                <w:sz w:val="28"/>
              </w:rPr>
            </w:pPr>
            <w:r>
              <w:rPr>
                <w:b w:val="0"/>
                <w:color w:val="000009"/>
                <w:sz w:val="28"/>
              </w:rPr>
              <w:t>66,000</w:t>
            </w:r>
          </w:p>
        </w:tc>
      </w:tr>
      <w:tr>
        <w:trPr>
          <w:trHeight w:val="332" w:hRule="atLeast"/>
        </w:trPr>
        <w:tc>
          <w:tcPr>
            <w:tcW w:w="818" w:type="dxa"/>
            <w:tcBorders>
              <w:left w:val="single" w:sz="4" w:space="0" w:color="000009"/>
              <w:right w:val="single" w:sz="4" w:space="0" w:color="000009"/>
            </w:tcBorders>
          </w:tcPr>
          <w:p>
            <w:pPr>
              <w:pStyle w:val="TableParagraph"/>
              <w:ind w:left="105"/>
              <w:rPr>
                <w:b w:val="0"/>
                <w:sz w:val="28"/>
              </w:rPr>
            </w:pPr>
            <w:r>
              <w:rPr>
                <w:b w:val="0"/>
                <w:color w:val="000009"/>
                <w:sz w:val="28"/>
              </w:rPr>
              <w:t>5.</w:t>
            </w:r>
          </w:p>
        </w:tc>
        <w:tc>
          <w:tcPr>
            <w:tcW w:w="6094" w:type="dxa"/>
            <w:tcBorders>
              <w:left w:val="single" w:sz="4" w:space="0" w:color="000009"/>
              <w:right w:val="single" w:sz="4" w:space="0" w:color="000009"/>
            </w:tcBorders>
          </w:tcPr>
          <w:p>
            <w:pPr>
              <w:pStyle w:val="TableParagraph"/>
              <w:ind w:left="103"/>
              <w:rPr>
                <w:b w:val="0"/>
                <w:sz w:val="28"/>
              </w:rPr>
            </w:pPr>
            <w:r>
              <w:rPr>
                <w:b w:val="0"/>
                <w:color w:val="000009"/>
                <w:sz w:val="28"/>
              </w:rPr>
              <w:t>Conveyance charges</w:t>
            </w:r>
          </w:p>
        </w:tc>
        <w:tc>
          <w:tcPr>
            <w:tcW w:w="1702" w:type="dxa"/>
            <w:tcBorders>
              <w:left w:val="single" w:sz="4" w:space="0" w:color="000009"/>
              <w:right w:val="single" w:sz="4" w:space="0" w:color="000009"/>
            </w:tcBorders>
          </w:tcPr>
          <w:p>
            <w:pPr>
              <w:pStyle w:val="TableParagraph"/>
              <w:ind w:right="97"/>
              <w:jc w:val="right"/>
              <w:rPr>
                <w:b w:val="0"/>
                <w:sz w:val="28"/>
              </w:rPr>
            </w:pPr>
            <w:r>
              <w:rPr>
                <w:b w:val="0"/>
                <w:color w:val="000009"/>
                <w:sz w:val="28"/>
              </w:rPr>
              <w:t>10,000</w:t>
            </w:r>
          </w:p>
        </w:tc>
      </w:tr>
      <w:tr>
        <w:trPr>
          <w:trHeight w:val="1005" w:hRule="atLeast"/>
        </w:trPr>
        <w:tc>
          <w:tcPr>
            <w:tcW w:w="818" w:type="dxa"/>
            <w:tcBorders>
              <w:left w:val="single" w:sz="4" w:space="0" w:color="000009"/>
              <w:right w:val="single" w:sz="4" w:space="0" w:color="000009"/>
            </w:tcBorders>
          </w:tcPr>
          <w:p>
            <w:pPr>
              <w:pStyle w:val="TableParagraph"/>
              <w:spacing w:line="323" w:lineRule="exact"/>
              <w:ind w:left="105"/>
              <w:rPr>
                <w:b w:val="0"/>
                <w:sz w:val="28"/>
              </w:rPr>
            </w:pPr>
            <w:r>
              <w:rPr>
                <w:b w:val="0"/>
                <w:color w:val="000009"/>
                <w:sz w:val="28"/>
              </w:rPr>
              <w:t>6.</w:t>
            </w:r>
          </w:p>
        </w:tc>
        <w:tc>
          <w:tcPr>
            <w:tcW w:w="6094" w:type="dxa"/>
            <w:tcBorders>
              <w:left w:val="single" w:sz="4" w:space="0" w:color="000009"/>
              <w:right w:val="single" w:sz="4" w:space="0" w:color="000009"/>
            </w:tcBorders>
          </w:tcPr>
          <w:p>
            <w:pPr>
              <w:pStyle w:val="TableParagraph"/>
              <w:tabs>
                <w:tab w:pos="937" w:val="left" w:leader="none"/>
                <w:tab w:pos="1401" w:val="left" w:leader="none"/>
                <w:tab w:pos="2464" w:val="left" w:leader="none"/>
                <w:tab w:pos="3864" w:val="left" w:leader="none"/>
                <w:tab w:pos="4424" w:val="left" w:leader="none"/>
                <w:tab w:pos="5733" w:val="left" w:leader="none"/>
              </w:tabs>
              <w:spacing w:line="323" w:lineRule="exact"/>
              <w:ind w:left="103"/>
              <w:rPr>
                <w:b w:val="0"/>
                <w:sz w:val="28"/>
              </w:rPr>
            </w:pPr>
            <w:r>
              <w:rPr>
                <w:b w:val="0"/>
                <w:color w:val="000009"/>
                <w:sz w:val="28"/>
              </w:rPr>
              <w:t>Loss</w:t>
              <w:tab/>
              <w:t>of</w:t>
              <w:tab/>
              <w:t>future</w:t>
              <w:tab/>
              <w:t>earnings</w:t>
              <w:tab/>
              <w:t>on</w:t>
              <w:tab/>
              <w:t>account</w:t>
              <w:tab/>
              <w:t>of</w:t>
            </w:r>
          </w:p>
          <w:p>
            <w:pPr>
              <w:pStyle w:val="TableParagraph"/>
              <w:spacing w:line="240" w:lineRule="auto" w:before="4"/>
              <w:rPr>
                <w:b w:val="0"/>
                <w:sz w:val="29"/>
              </w:rPr>
            </w:pPr>
          </w:p>
          <w:p>
            <w:pPr>
              <w:pStyle w:val="TableParagraph"/>
              <w:spacing w:line="317" w:lineRule="exact" w:before="1"/>
              <w:ind w:left="103"/>
              <w:rPr>
                <w:b w:val="0"/>
                <w:sz w:val="28"/>
              </w:rPr>
            </w:pPr>
            <w:r>
              <w:rPr>
                <w:b w:val="0"/>
                <w:color w:val="000009"/>
                <w:sz w:val="28"/>
              </w:rPr>
              <w:t>disability</w:t>
            </w:r>
          </w:p>
        </w:tc>
        <w:tc>
          <w:tcPr>
            <w:tcW w:w="1702" w:type="dxa"/>
            <w:tcBorders>
              <w:left w:val="single" w:sz="4" w:space="0" w:color="000009"/>
              <w:right w:val="single" w:sz="4" w:space="0" w:color="000009"/>
            </w:tcBorders>
          </w:tcPr>
          <w:p>
            <w:pPr>
              <w:pStyle w:val="TableParagraph"/>
              <w:spacing w:line="323" w:lineRule="exact"/>
              <w:ind w:right="97"/>
              <w:jc w:val="right"/>
              <w:rPr>
                <w:b w:val="0"/>
                <w:sz w:val="28"/>
              </w:rPr>
            </w:pPr>
            <w:r>
              <w:rPr>
                <w:b w:val="0"/>
                <w:color w:val="000009"/>
                <w:sz w:val="28"/>
              </w:rPr>
              <w:t>6,93,000</w:t>
            </w:r>
          </w:p>
        </w:tc>
      </w:tr>
      <w:tr>
        <w:trPr>
          <w:trHeight w:val="333" w:hRule="atLeast"/>
        </w:trPr>
        <w:tc>
          <w:tcPr>
            <w:tcW w:w="818" w:type="dxa"/>
            <w:tcBorders>
              <w:left w:val="single" w:sz="4" w:space="0" w:color="000009"/>
              <w:right w:val="single" w:sz="4" w:space="0" w:color="000009"/>
            </w:tcBorders>
          </w:tcPr>
          <w:p>
            <w:pPr>
              <w:pStyle w:val="TableParagraph"/>
              <w:ind w:left="105"/>
              <w:rPr>
                <w:b w:val="0"/>
                <w:sz w:val="28"/>
              </w:rPr>
            </w:pPr>
            <w:r>
              <w:rPr>
                <w:b w:val="0"/>
                <w:color w:val="000009"/>
                <w:sz w:val="28"/>
              </w:rPr>
              <w:t>7.</w:t>
            </w:r>
          </w:p>
        </w:tc>
        <w:tc>
          <w:tcPr>
            <w:tcW w:w="6094" w:type="dxa"/>
            <w:tcBorders>
              <w:left w:val="single" w:sz="4" w:space="0" w:color="000009"/>
              <w:right w:val="single" w:sz="4" w:space="0" w:color="000009"/>
            </w:tcBorders>
          </w:tcPr>
          <w:p>
            <w:pPr>
              <w:pStyle w:val="TableParagraph"/>
              <w:ind w:left="103"/>
              <w:rPr>
                <w:b w:val="0"/>
                <w:sz w:val="28"/>
              </w:rPr>
            </w:pPr>
            <w:r>
              <w:rPr>
                <w:b w:val="0"/>
                <w:color w:val="000009"/>
                <w:sz w:val="28"/>
              </w:rPr>
              <w:t>Future medical expenses</w:t>
            </w:r>
          </w:p>
        </w:tc>
        <w:tc>
          <w:tcPr>
            <w:tcW w:w="1702" w:type="dxa"/>
            <w:tcBorders>
              <w:left w:val="single" w:sz="4" w:space="0" w:color="000009"/>
              <w:right w:val="single" w:sz="4" w:space="0" w:color="000009"/>
            </w:tcBorders>
          </w:tcPr>
          <w:p>
            <w:pPr>
              <w:pStyle w:val="TableParagraph"/>
              <w:ind w:right="97"/>
              <w:jc w:val="right"/>
              <w:rPr>
                <w:b w:val="0"/>
                <w:sz w:val="28"/>
              </w:rPr>
            </w:pPr>
            <w:r>
              <w:rPr>
                <w:b w:val="0"/>
                <w:color w:val="000009"/>
                <w:sz w:val="28"/>
              </w:rPr>
              <w:t>2,50,000</w:t>
            </w:r>
          </w:p>
        </w:tc>
      </w:tr>
      <w:tr>
        <w:trPr>
          <w:trHeight w:val="330" w:hRule="atLeast"/>
        </w:trPr>
        <w:tc>
          <w:tcPr>
            <w:tcW w:w="818" w:type="dxa"/>
            <w:tcBorders>
              <w:left w:val="single" w:sz="4" w:space="0" w:color="000009"/>
              <w:right w:val="single" w:sz="4" w:space="0" w:color="000009"/>
            </w:tcBorders>
          </w:tcPr>
          <w:p>
            <w:pPr>
              <w:pStyle w:val="TableParagraph"/>
              <w:spacing w:line="311" w:lineRule="exact"/>
              <w:ind w:left="105"/>
              <w:rPr>
                <w:b w:val="0"/>
                <w:sz w:val="28"/>
              </w:rPr>
            </w:pPr>
            <w:r>
              <w:rPr>
                <w:b w:val="0"/>
                <w:color w:val="000009"/>
                <w:sz w:val="28"/>
              </w:rPr>
              <w:t>8.</w:t>
            </w:r>
          </w:p>
        </w:tc>
        <w:tc>
          <w:tcPr>
            <w:tcW w:w="6094" w:type="dxa"/>
            <w:tcBorders>
              <w:left w:val="single" w:sz="4" w:space="0" w:color="000009"/>
              <w:right w:val="single" w:sz="4" w:space="0" w:color="000009"/>
            </w:tcBorders>
          </w:tcPr>
          <w:p>
            <w:pPr>
              <w:pStyle w:val="TableParagraph"/>
              <w:spacing w:line="311" w:lineRule="exact"/>
              <w:ind w:left="103"/>
              <w:rPr>
                <w:b w:val="0"/>
                <w:sz w:val="28"/>
              </w:rPr>
            </w:pPr>
            <w:r>
              <w:rPr>
                <w:b w:val="0"/>
                <w:color w:val="000009"/>
                <w:sz w:val="28"/>
              </w:rPr>
              <w:t>Loss of amenities</w:t>
            </w:r>
          </w:p>
        </w:tc>
        <w:tc>
          <w:tcPr>
            <w:tcW w:w="1702" w:type="dxa"/>
            <w:tcBorders>
              <w:left w:val="single" w:sz="4" w:space="0" w:color="000009"/>
              <w:right w:val="single" w:sz="4" w:space="0" w:color="000009"/>
            </w:tcBorders>
          </w:tcPr>
          <w:p>
            <w:pPr>
              <w:pStyle w:val="TableParagraph"/>
              <w:spacing w:line="311" w:lineRule="exact"/>
              <w:ind w:right="97"/>
              <w:jc w:val="right"/>
              <w:rPr>
                <w:b w:val="0"/>
                <w:sz w:val="28"/>
              </w:rPr>
            </w:pPr>
            <w:r>
              <w:rPr>
                <w:b w:val="0"/>
                <w:color w:val="000009"/>
                <w:sz w:val="28"/>
              </w:rPr>
              <w:t>50,000</w:t>
            </w:r>
          </w:p>
        </w:tc>
      </w:tr>
      <w:tr>
        <w:trPr>
          <w:trHeight w:val="361" w:hRule="atLeast"/>
        </w:trPr>
        <w:tc>
          <w:tcPr>
            <w:tcW w:w="818" w:type="dxa"/>
            <w:tcBorders>
              <w:left w:val="single" w:sz="4" w:space="0" w:color="000009"/>
              <w:right w:val="single" w:sz="4" w:space="0" w:color="000009"/>
            </w:tcBorders>
          </w:tcPr>
          <w:p>
            <w:pPr>
              <w:pStyle w:val="TableParagraph"/>
              <w:spacing w:line="240" w:lineRule="auto"/>
              <w:rPr>
                <w:rFonts w:ascii="Times New Roman"/>
                <w:sz w:val="26"/>
              </w:rPr>
            </w:pPr>
          </w:p>
        </w:tc>
        <w:tc>
          <w:tcPr>
            <w:tcW w:w="6094" w:type="dxa"/>
            <w:tcBorders>
              <w:left w:val="single" w:sz="4" w:space="0" w:color="000009"/>
              <w:right w:val="single" w:sz="4" w:space="0" w:color="000009"/>
            </w:tcBorders>
          </w:tcPr>
          <w:p>
            <w:pPr>
              <w:pStyle w:val="TableParagraph"/>
              <w:spacing w:line="240" w:lineRule="auto" w:before="12"/>
              <w:ind w:left="103"/>
              <w:rPr>
                <w:b/>
                <w:sz w:val="28"/>
              </w:rPr>
            </w:pPr>
            <w:r>
              <w:rPr>
                <w:b/>
                <w:color w:val="000009"/>
                <w:sz w:val="28"/>
              </w:rPr>
              <w:t>TOTAL</w:t>
            </w:r>
          </w:p>
        </w:tc>
        <w:tc>
          <w:tcPr>
            <w:tcW w:w="1702" w:type="dxa"/>
            <w:tcBorders>
              <w:left w:val="single" w:sz="4" w:space="0" w:color="000009"/>
              <w:right w:val="single" w:sz="4" w:space="0" w:color="000009"/>
            </w:tcBorders>
          </w:tcPr>
          <w:p>
            <w:pPr>
              <w:pStyle w:val="TableParagraph"/>
              <w:spacing w:line="240" w:lineRule="auto" w:before="12"/>
              <w:ind w:right="95"/>
              <w:jc w:val="right"/>
              <w:rPr>
                <w:b/>
                <w:sz w:val="28"/>
              </w:rPr>
            </w:pPr>
            <w:r>
              <w:rPr>
                <w:b/>
                <w:color w:val="000009"/>
                <w:sz w:val="28"/>
              </w:rPr>
              <w:t>11,97,350</w:t>
            </w:r>
          </w:p>
        </w:tc>
      </w:tr>
    </w:tbl>
    <w:p>
      <w:pPr>
        <w:spacing w:after="0" w:line="240" w:lineRule="auto"/>
        <w:jc w:val="right"/>
        <w:rPr>
          <w:sz w:val="28"/>
        </w:rPr>
        <w:sectPr>
          <w:pgSz w:w="12240" w:h="15840"/>
          <w:pgMar w:header="0" w:footer="975" w:top="1060" w:bottom="1220" w:left="940" w:right="1020"/>
        </w:sectPr>
      </w:pPr>
    </w:p>
    <w:p>
      <w:pPr>
        <w:pStyle w:val="ListParagraph"/>
        <w:numPr>
          <w:ilvl w:val="0"/>
          <w:numId w:val="3"/>
        </w:numPr>
        <w:tabs>
          <w:tab w:pos="1484" w:val="left" w:leader="none"/>
        </w:tabs>
        <w:spacing w:line="491" w:lineRule="auto" w:before="72" w:after="0"/>
        <w:ind w:left="764" w:right="128" w:firstLine="0"/>
        <w:jc w:val="both"/>
        <w:rPr>
          <w:b w:val="0"/>
          <w:sz w:val="28"/>
        </w:rPr>
      </w:pPr>
      <w:r>
        <w:rPr>
          <w:b w:val="0"/>
          <w:color w:val="000009"/>
          <w:sz w:val="28"/>
        </w:rPr>
        <w:t>We modify the award of the High Court accordingly to be paid along with interest @ 6 per cent from the date of petition till the realization.</w:t>
      </w:r>
    </w:p>
    <w:p>
      <w:pPr>
        <w:pStyle w:val="BodyText"/>
        <w:rPr>
          <w:b w:val="0"/>
          <w:sz w:val="34"/>
        </w:rPr>
      </w:pPr>
    </w:p>
    <w:p>
      <w:pPr>
        <w:pStyle w:val="ListParagraph"/>
        <w:numPr>
          <w:ilvl w:val="0"/>
          <w:numId w:val="3"/>
        </w:numPr>
        <w:tabs>
          <w:tab w:pos="1484" w:val="left" w:leader="none"/>
        </w:tabs>
        <w:spacing w:line="240" w:lineRule="auto" w:before="275" w:after="0"/>
        <w:ind w:left="1484" w:right="0" w:hanging="720"/>
        <w:jc w:val="both"/>
        <w:rPr>
          <w:b w:val="0"/>
          <w:sz w:val="28"/>
        </w:rPr>
      </w:pPr>
      <w:r>
        <w:rPr>
          <w:b w:val="0"/>
          <w:color w:val="000009"/>
          <w:sz w:val="28"/>
        </w:rPr>
        <w:t>The appeal is</w:t>
      </w:r>
      <w:r>
        <w:rPr>
          <w:b w:val="0"/>
          <w:color w:val="000009"/>
          <w:spacing w:val="-1"/>
          <w:sz w:val="28"/>
        </w:rPr>
        <w:t> </w:t>
      </w:r>
      <w:r>
        <w:rPr>
          <w:b w:val="0"/>
          <w:color w:val="000009"/>
          <w:sz w:val="28"/>
        </w:rPr>
        <w:t>allowed.</w:t>
      </w:r>
    </w:p>
    <w:p>
      <w:pPr>
        <w:pStyle w:val="BodyText"/>
        <w:rPr>
          <w:b w:val="0"/>
          <w:sz w:val="34"/>
        </w:rPr>
      </w:pPr>
    </w:p>
    <w:p>
      <w:pPr>
        <w:pStyle w:val="BodyText"/>
        <w:rPr>
          <w:b w:val="0"/>
          <w:sz w:val="34"/>
        </w:rPr>
      </w:pPr>
    </w:p>
    <w:p>
      <w:pPr>
        <w:pStyle w:val="BodyText"/>
        <w:spacing w:line="266" w:lineRule="auto" w:before="297"/>
        <w:ind w:left="8064" w:right="90" w:hanging="880"/>
        <w:rPr>
          <w:b/>
        </w:rPr>
      </w:pPr>
      <w:r>
        <w:rPr>
          <w:b/>
          <w:color w:val="000009"/>
        </w:rPr>
        <w:t>.……………………….J. (R.F. Nariman)</w:t>
      </w:r>
    </w:p>
    <w:p>
      <w:pPr>
        <w:pStyle w:val="BodyText"/>
        <w:rPr>
          <w:b/>
          <w:sz w:val="36"/>
        </w:rPr>
      </w:pPr>
    </w:p>
    <w:p>
      <w:pPr>
        <w:pStyle w:val="BodyText"/>
        <w:rPr>
          <w:b/>
          <w:sz w:val="36"/>
        </w:rPr>
      </w:pPr>
    </w:p>
    <w:p>
      <w:pPr>
        <w:pStyle w:val="BodyText"/>
        <w:spacing w:line="266" w:lineRule="auto" w:before="256"/>
        <w:ind w:left="8047" w:right="92" w:hanging="864"/>
        <w:rPr>
          <w:b/>
        </w:rPr>
      </w:pPr>
      <w:r>
        <w:rPr>
          <w:b/>
          <w:color w:val="000009"/>
        </w:rPr>
        <w:t>………………………..J. (Navin Sinha)</w:t>
      </w:r>
    </w:p>
    <w:p>
      <w:pPr>
        <w:pStyle w:val="BodyText"/>
        <w:rPr>
          <w:b/>
          <w:sz w:val="36"/>
        </w:rPr>
      </w:pPr>
    </w:p>
    <w:p>
      <w:pPr>
        <w:pStyle w:val="BodyText"/>
        <w:rPr>
          <w:b/>
          <w:sz w:val="36"/>
        </w:rPr>
      </w:pPr>
    </w:p>
    <w:p>
      <w:pPr>
        <w:pStyle w:val="BodyText"/>
        <w:spacing w:before="255"/>
        <w:ind w:left="7184"/>
        <w:rPr>
          <w:b/>
        </w:rPr>
      </w:pPr>
      <w:r>
        <w:rPr>
          <w:b/>
          <w:color w:val="000009"/>
        </w:rPr>
        <w:t>………………………..J.</w:t>
      </w:r>
    </w:p>
    <w:p>
      <w:pPr>
        <w:pStyle w:val="BodyText"/>
        <w:spacing w:before="37"/>
        <w:ind w:left="8281"/>
        <w:rPr>
          <w:b/>
        </w:rPr>
      </w:pPr>
      <w:r>
        <w:rPr>
          <w:b/>
          <w:color w:val="000009"/>
        </w:rPr>
        <w:t>(B.R. Gavai)</w:t>
      </w:r>
    </w:p>
    <w:p>
      <w:pPr>
        <w:pStyle w:val="BodyText"/>
        <w:spacing w:before="10"/>
        <w:rPr>
          <w:b/>
          <w:sz w:val="32"/>
        </w:rPr>
      </w:pPr>
    </w:p>
    <w:p>
      <w:pPr>
        <w:pStyle w:val="BodyText"/>
        <w:spacing w:line="247" w:lineRule="auto"/>
        <w:ind w:left="764" w:right="7374"/>
        <w:rPr>
          <w:b w:val="0"/>
        </w:rPr>
      </w:pPr>
      <w:r>
        <w:rPr>
          <w:b w:val="0"/>
          <w:color w:val="000009"/>
        </w:rPr>
        <w:t>New Delhi, June 10, 2020</w:t>
      </w:r>
    </w:p>
    <w:sectPr>
      <w:pgSz w:w="12240" w:h="15840"/>
      <w:pgMar w:header="0" w:footer="975" w:top="1060" w:bottom="1220" w:left="94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1.299988pt;margin-top:729.989563pt;width:18pt;height:14.85pt;mso-position-horizontal-relative:page;mso-position-vertical-relative:page;z-index:-251915264" type="#_x0000_t202" filled="false" stroked="false">
          <v:textbox inset="0,0,0,0">
            <w:txbxContent>
              <w:p>
                <w:pPr>
                  <w:spacing w:before="3"/>
                  <w:ind w:left="40" w:right="0" w:firstLine="0"/>
                  <w:jc w:val="left"/>
                  <w:rPr>
                    <w:rFonts w:ascii="Verdana"/>
                    <w:sz w:val="22"/>
                  </w:rPr>
                </w:pPr>
                <w:r>
                  <w:rPr/>
                  <w:fldChar w:fldCharType="begin"/>
                </w:r>
                <w:r>
                  <w:rPr>
                    <w:rFonts w:ascii="Verdana"/>
                    <w:color w:val="000009"/>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764" w:hanging="720"/>
        <w:jc w:val="left"/>
      </w:pPr>
      <w:rPr>
        <w:rFonts w:hint="default" w:ascii="Bookman Old Style" w:hAnsi="Bookman Old Style" w:eastAsia="Bookman Old Style" w:cs="Bookman Old Style"/>
        <w:color w:val="000009"/>
        <w:spacing w:val="-2"/>
        <w:w w:val="99"/>
        <w:sz w:val="28"/>
        <w:szCs w:val="28"/>
        <w:lang w:val="en-US" w:eastAsia="en-US" w:bidi="en-US"/>
      </w:rPr>
    </w:lvl>
    <w:lvl w:ilvl="1">
      <w:start w:val="0"/>
      <w:numFmt w:val="bullet"/>
      <w:lvlText w:val="•"/>
      <w:lvlJc w:val="left"/>
      <w:pPr>
        <w:ind w:left="1480" w:hanging="720"/>
      </w:pPr>
      <w:rPr>
        <w:rFonts w:hint="default"/>
        <w:lang w:val="en-US" w:eastAsia="en-US" w:bidi="en-US"/>
      </w:rPr>
    </w:lvl>
    <w:lvl w:ilvl="2">
      <w:start w:val="0"/>
      <w:numFmt w:val="bullet"/>
      <w:lvlText w:val="•"/>
      <w:lvlJc w:val="left"/>
      <w:pPr>
        <w:ind w:left="2457" w:hanging="720"/>
      </w:pPr>
      <w:rPr>
        <w:rFonts w:hint="default"/>
        <w:lang w:val="en-US" w:eastAsia="en-US" w:bidi="en-US"/>
      </w:rPr>
    </w:lvl>
    <w:lvl w:ilvl="3">
      <w:start w:val="0"/>
      <w:numFmt w:val="bullet"/>
      <w:lvlText w:val="•"/>
      <w:lvlJc w:val="left"/>
      <w:pPr>
        <w:ind w:left="3435" w:hanging="720"/>
      </w:pPr>
      <w:rPr>
        <w:rFonts w:hint="default"/>
        <w:lang w:val="en-US" w:eastAsia="en-US" w:bidi="en-US"/>
      </w:rPr>
    </w:lvl>
    <w:lvl w:ilvl="4">
      <w:start w:val="0"/>
      <w:numFmt w:val="bullet"/>
      <w:lvlText w:val="•"/>
      <w:lvlJc w:val="left"/>
      <w:pPr>
        <w:ind w:left="4413" w:hanging="720"/>
      </w:pPr>
      <w:rPr>
        <w:rFonts w:hint="default"/>
        <w:lang w:val="en-US" w:eastAsia="en-US" w:bidi="en-US"/>
      </w:rPr>
    </w:lvl>
    <w:lvl w:ilvl="5">
      <w:start w:val="0"/>
      <w:numFmt w:val="bullet"/>
      <w:lvlText w:val="•"/>
      <w:lvlJc w:val="left"/>
      <w:pPr>
        <w:ind w:left="5391" w:hanging="720"/>
      </w:pPr>
      <w:rPr>
        <w:rFonts w:hint="default"/>
        <w:lang w:val="en-US" w:eastAsia="en-US" w:bidi="en-US"/>
      </w:rPr>
    </w:lvl>
    <w:lvl w:ilvl="6">
      <w:start w:val="0"/>
      <w:numFmt w:val="bullet"/>
      <w:lvlText w:val="•"/>
      <w:lvlJc w:val="left"/>
      <w:pPr>
        <w:ind w:left="6368" w:hanging="720"/>
      </w:pPr>
      <w:rPr>
        <w:rFonts w:hint="default"/>
        <w:lang w:val="en-US" w:eastAsia="en-US" w:bidi="en-US"/>
      </w:rPr>
    </w:lvl>
    <w:lvl w:ilvl="7">
      <w:start w:val="0"/>
      <w:numFmt w:val="bullet"/>
      <w:lvlText w:val="•"/>
      <w:lvlJc w:val="left"/>
      <w:pPr>
        <w:ind w:left="7346" w:hanging="720"/>
      </w:pPr>
      <w:rPr>
        <w:rFonts w:hint="default"/>
        <w:lang w:val="en-US" w:eastAsia="en-US" w:bidi="en-US"/>
      </w:rPr>
    </w:lvl>
    <w:lvl w:ilvl="8">
      <w:start w:val="0"/>
      <w:numFmt w:val="bullet"/>
      <w:lvlText w:val="•"/>
      <w:lvlJc w:val="left"/>
      <w:pPr>
        <w:ind w:left="8324" w:hanging="720"/>
      </w:pPr>
      <w:rPr>
        <w:rFonts w:hint="default"/>
        <w:lang w:val="en-US" w:eastAsia="en-US" w:bidi="en-US"/>
      </w:rPr>
    </w:lvl>
  </w:abstractNum>
  <w:abstractNum w:abstractNumId="1">
    <w:multiLevelType w:val="hybridMultilevel"/>
    <w:lvl w:ilvl="0">
      <w:start w:val="13"/>
      <w:numFmt w:val="decimal"/>
      <w:lvlText w:val="%1."/>
      <w:lvlJc w:val="left"/>
      <w:pPr>
        <w:ind w:left="1844" w:hanging="679"/>
        <w:jc w:val="left"/>
      </w:pPr>
      <w:rPr>
        <w:rFonts w:hint="default" w:ascii="Bookman Old Style" w:hAnsi="Bookman Old Style" w:eastAsia="Bookman Old Style" w:cs="Bookman Old Style"/>
        <w:color w:val="000009"/>
        <w:spacing w:val="-39"/>
        <w:w w:val="99"/>
        <w:sz w:val="28"/>
        <w:szCs w:val="28"/>
        <w:lang w:val="en-US" w:eastAsia="en-US" w:bidi="en-US"/>
      </w:rPr>
    </w:lvl>
    <w:lvl w:ilvl="1">
      <w:start w:val="0"/>
      <w:numFmt w:val="bullet"/>
      <w:lvlText w:val="•"/>
      <w:lvlJc w:val="left"/>
      <w:pPr>
        <w:ind w:left="2684" w:hanging="679"/>
      </w:pPr>
      <w:rPr>
        <w:rFonts w:hint="default"/>
        <w:lang w:val="en-US" w:eastAsia="en-US" w:bidi="en-US"/>
      </w:rPr>
    </w:lvl>
    <w:lvl w:ilvl="2">
      <w:start w:val="0"/>
      <w:numFmt w:val="bullet"/>
      <w:lvlText w:val="•"/>
      <w:lvlJc w:val="left"/>
      <w:pPr>
        <w:ind w:left="3528" w:hanging="679"/>
      </w:pPr>
      <w:rPr>
        <w:rFonts w:hint="default"/>
        <w:lang w:val="en-US" w:eastAsia="en-US" w:bidi="en-US"/>
      </w:rPr>
    </w:lvl>
    <w:lvl w:ilvl="3">
      <w:start w:val="0"/>
      <w:numFmt w:val="bullet"/>
      <w:lvlText w:val="•"/>
      <w:lvlJc w:val="left"/>
      <w:pPr>
        <w:ind w:left="4372" w:hanging="679"/>
      </w:pPr>
      <w:rPr>
        <w:rFonts w:hint="default"/>
        <w:lang w:val="en-US" w:eastAsia="en-US" w:bidi="en-US"/>
      </w:rPr>
    </w:lvl>
    <w:lvl w:ilvl="4">
      <w:start w:val="0"/>
      <w:numFmt w:val="bullet"/>
      <w:lvlText w:val="•"/>
      <w:lvlJc w:val="left"/>
      <w:pPr>
        <w:ind w:left="5216" w:hanging="679"/>
      </w:pPr>
      <w:rPr>
        <w:rFonts w:hint="default"/>
        <w:lang w:val="en-US" w:eastAsia="en-US" w:bidi="en-US"/>
      </w:rPr>
    </w:lvl>
    <w:lvl w:ilvl="5">
      <w:start w:val="0"/>
      <w:numFmt w:val="bullet"/>
      <w:lvlText w:val="•"/>
      <w:lvlJc w:val="left"/>
      <w:pPr>
        <w:ind w:left="6060" w:hanging="679"/>
      </w:pPr>
      <w:rPr>
        <w:rFonts w:hint="default"/>
        <w:lang w:val="en-US" w:eastAsia="en-US" w:bidi="en-US"/>
      </w:rPr>
    </w:lvl>
    <w:lvl w:ilvl="6">
      <w:start w:val="0"/>
      <w:numFmt w:val="bullet"/>
      <w:lvlText w:val="•"/>
      <w:lvlJc w:val="left"/>
      <w:pPr>
        <w:ind w:left="6904" w:hanging="679"/>
      </w:pPr>
      <w:rPr>
        <w:rFonts w:hint="default"/>
        <w:lang w:val="en-US" w:eastAsia="en-US" w:bidi="en-US"/>
      </w:rPr>
    </w:lvl>
    <w:lvl w:ilvl="7">
      <w:start w:val="0"/>
      <w:numFmt w:val="bullet"/>
      <w:lvlText w:val="•"/>
      <w:lvlJc w:val="left"/>
      <w:pPr>
        <w:ind w:left="7748" w:hanging="679"/>
      </w:pPr>
      <w:rPr>
        <w:rFonts w:hint="default"/>
        <w:lang w:val="en-US" w:eastAsia="en-US" w:bidi="en-US"/>
      </w:rPr>
    </w:lvl>
    <w:lvl w:ilvl="8">
      <w:start w:val="0"/>
      <w:numFmt w:val="bullet"/>
      <w:lvlText w:val="•"/>
      <w:lvlJc w:val="left"/>
      <w:pPr>
        <w:ind w:left="8592" w:hanging="679"/>
      </w:pPr>
      <w:rPr>
        <w:rFonts w:hint="default"/>
        <w:lang w:val="en-US" w:eastAsia="en-US" w:bidi="en-US"/>
      </w:rPr>
    </w:lvl>
  </w:abstractNum>
  <w:abstractNum w:abstractNumId="0">
    <w:multiLevelType w:val="hybridMultilevel"/>
    <w:lvl w:ilvl="0">
      <w:start w:val="2"/>
      <w:numFmt w:val="decimal"/>
      <w:lvlText w:val="%1."/>
      <w:lvlJc w:val="left"/>
      <w:pPr>
        <w:ind w:left="764" w:hanging="720"/>
        <w:jc w:val="right"/>
      </w:pPr>
      <w:rPr>
        <w:rFonts w:hint="default" w:ascii="Bookman Old Style" w:hAnsi="Bookman Old Style" w:eastAsia="Bookman Old Style" w:cs="Bookman Old Style"/>
        <w:color w:val="000009"/>
        <w:spacing w:val="-2"/>
        <w:w w:val="99"/>
        <w:sz w:val="28"/>
        <w:szCs w:val="28"/>
        <w:lang w:val="en-US" w:eastAsia="en-US" w:bidi="en-US"/>
      </w:rPr>
    </w:lvl>
    <w:lvl w:ilvl="1">
      <w:start w:val="0"/>
      <w:numFmt w:val="bullet"/>
      <w:lvlText w:val="•"/>
      <w:lvlJc w:val="left"/>
      <w:pPr>
        <w:ind w:left="5800" w:hanging="720"/>
      </w:pPr>
      <w:rPr>
        <w:rFonts w:hint="default"/>
        <w:lang w:val="en-US" w:eastAsia="en-US" w:bidi="en-US"/>
      </w:rPr>
    </w:lvl>
    <w:lvl w:ilvl="2">
      <w:start w:val="0"/>
      <w:numFmt w:val="bullet"/>
      <w:lvlText w:val="•"/>
      <w:lvlJc w:val="left"/>
      <w:pPr>
        <w:ind w:left="6297" w:hanging="720"/>
      </w:pPr>
      <w:rPr>
        <w:rFonts w:hint="default"/>
        <w:lang w:val="en-US" w:eastAsia="en-US" w:bidi="en-US"/>
      </w:rPr>
    </w:lvl>
    <w:lvl w:ilvl="3">
      <w:start w:val="0"/>
      <w:numFmt w:val="bullet"/>
      <w:lvlText w:val="•"/>
      <w:lvlJc w:val="left"/>
      <w:pPr>
        <w:ind w:left="6795" w:hanging="720"/>
      </w:pPr>
      <w:rPr>
        <w:rFonts w:hint="default"/>
        <w:lang w:val="en-US" w:eastAsia="en-US" w:bidi="en-US"/>
      </w:rPr>
    </w:lvl>
    <w:lvl w:ilvl="4">
      <w:start w:val="0"/>
      <w:numFmt w:val="bullet"/>
      <w:lvlText w:val="•"/>
      <w:lvlJc w:val="left"/>
      <w:pPr>
        <w:ind w:left="7293" w:hanging="720"/>
      </w:pPr>
      <w:rPr>
        <w:rFonts w:hint="default"/>
        <w:lang w:val="en-US" w:eastAsia="en-US" w:bidi="en-US"/>
      </w:rPr>
    </w:lvl>
    <w:lvl w:ilvl="5">
      <w:start w:val="0"/>
      <w:numFmt w:val="bullet"/>
      <w:lvlText w:val="•"/>
      <w:lvlJc w:val="left"/>
      <w:pPr>
        <w:ind w:left="7791" w:hanging="720"/>
      </w:pPr>
      <w:rPr>
        <w:rFonts w:hint="default"/>
        <w:lang w:val="en-US" w:eastAsia="en-US" w:bidi="en-US"/>
      </w:rPr>
    </w:lvl>
    <w:lvl w:ilvl="6">
      <w:start w:val="0"/>
      <w:numFmt w:val="bullet"/>
      <w:lvlText w:val="•"/>
      <w:lvlJc w:val="left"/>
      <w:pPr>
        <w:ind w:left="8288" w:hanging="720"/>
      </w:pPr>
      <w:rPr>
        <w:rFonts w:hint="default"/>
        <w:lang w:val="en-US" w:eastAsia="en-US" w:bidi="en-US"/>
      </w:rPr>
    </w:lvl>
    <w:lvl w:ilvl="7">
      <w:start w:val="0"/>
      <w:numFmt w:val="bullet"/>
      <w:lvlText w:val="•"/>
      <w:lvlJc w:val="left"/>
      <w:pPr>
        <w:ind w:left="8786" w:hanging="720"/>
      </w:pPr>
      <w:rPr>
        <w:rFonts w:hint="default"/>
        <w:lang w:val="en-US" w:eastAsia="en-US" w:bidi="en-US"/>
      </w:rPr>
    </w:lvl>
    <w:lvl w:ilvl="8">
      <w:start w:val="0"/>
      <w:numFmt w:val="bullet"/>
      <w:lvlText w:val="•"/>
      <w:lvlJc w:val="left"/>
      <w:pPr>
        <w:ind w:left="9284" w:hanging="72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ind w:left="764" w:right="120"/>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spacing w:line="313" w:lineRule="exact"/>
    </w:pPr>
    <w:rPr>
      <w:rFonts w:ascii="Bookman Old Style" w:hAnsi="Bookman Old Style" w:eastAsia="Bookman Old Style" w:cs="Bookman Old Style"/>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2020-06-17T05:06:20Z</dcterms:created>
  <dcterms:modified xsi:type="dcterms:W3CDTF">2020-06-17T05:06:20Z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Writer</vt:lpwstr>
  </property>
  <property fmtid="{D5CDD505-2E9C-101B-9397-08002B2CF9AE}" pid="4" name="LastSaved">
    <vt:filetime>2020-06-17T00:00:00Z</vt:filetime>
  </property>
</Properties>
</file>