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8"/>
        <w:ind w:left="0" w:right="110"/>
        <w:jc w:val="right"/>
        <w:rPr>
          <w:b/>
        </w:rPr>
      </w:pPr>
      <w:r>
        <w:rPr>
          <w:b/>
          <w:color w:val="000009"/>
          <w:u w:val="thick" w:color="000009"/>
        </w:rPr>
        <w:t>NON­REPORTABLE</w:t>
      </w:r>
    </w:p>
    <w:p>
      <w:pPr>
        <w:pStyle w:val="BodyText"/>
        <w:spacing w:before="5"/>
        <w:ind w:left="0"/>
        <w:rPr>
          <w:b/>
          <w:sz w:val="24"/>
        </w:rPr>
      </w:pPr>
    </w:p>
    <w:p>
      <w:pPr>
        <w:pStyle w:val="BodyText"/>
        <w:spacing w:line="535" w:lineRule="auto" w:before="116"/>
        <w:ind w:left="2413" w:right="2025"/>
        <w:jc w:val="center"/>
        <w:rPr>
          <w:b/>
        </w:rPr>
      </w:pPr>
      <w:r>
        <w:rPr>
          <w:b/>
          <w:color w:val="000009"/>
        </w:rPr>
        <w:t>IN THE SUPREME COURT OF INDIA CIVIL APPELLATE JURISDICTION</w:t>
      </w:r>
    </w:p>
    <w:p>
      <w:pPr>
        <w:pStyle w:val="BodyText"/>
        <w:tabs>
          <w:tab w:pos="4375" w:val="left" w:leader="none"/>
        </w:tabs>
        <w:spacing w:line="327" w:lineRule="exact"/>
        <w:ind w:left="385"/>
        <w:jc w:val="center"/>
        <w:rPr>
          <w:b/>
        </w:rPr>
      </w:pPr>
      <w:r>
        <w:rPr>
          <w:b/>
          <w:color w:val="000009"/>
          <w:u w:val="thick" w:color="000009"/>
        </w:rPr>
        <w:t>CIVIL APPEAL</w:t>
      </w:r>
      <w:r>
        <w:rPr>
          <w:b/>
          <w:color w:val="000009"/>
          <w:spacing w:val="-3"/>
          <w:u w:val="thick" w:color="000009"/>
        </w:rPr>
        <w:t> </w:t>
      </w:r>
      <w:r>
        <w:rPr>
          <w:b/>
          <w:color w:val="000009"/>
          <w:u w:val="thick" w:color="000009"/>
        </w:rPr>
        <w:t>NO.</w:t>
      </w:r>
      <w:r>
        <w:rPr>
          <w:b/>
          <w:color w:val="000009"/>
          <w:spacing w:val="93"/>
          <w:u w:val="thick" w:color="000009"/>
        </w:rPr>
        <w:t> </w:t>
      </w:r>
      <w:r>
        <w:rPr>
          <w:b/>
          <w:color w:val="000009"/>
          <w:u w:val="thick" w:color="000009"/>
        </w:rPr>
        <w:t>2612</w:t>
        <w:tab/>
        <w:t>OF</w:t>
      </w:r>
      <w:r>
        <w:rPr>
          <w:b/>
          <w:color w:val="000009"/>
          <w:spacing w:val="-2"/>
          <w:u w:val="thick" w:color="000009"/>
        </w:rPr>
        <w:t> </w:t>
      </w:r>
      <w:r>
        <w:rPr>
          <w:b/>
          <w:color w:val="000009"/>
          <w:u w:val="thick" w:color="000009"/>
        </w:rPr>
        <w:t>2020</w:t>
      </w:r>
    </w:p>
    <w:p>
      <w:pPr>
        <w:pStyle w:val="BodyText"/>
        <w:spacing w:before="20"/>
        <w:ind w:left="384"/>
        <w:jc w:val="center"/>
        <w:rPr>
          <w:b w:val="0"/>
        </w:rPr>
      </w:pPr>
      <w:r>
        <w:rPr>
          <w:b w:val="0"/>
          <w:color w:val="000009"/>
        </w:rPr>
        <w:t>(Arising out of SLP (Civil) No. 28724 of 2018)</w:t>
      </w:r>
    </w:p>
    <w:p>
      <w:pPr>
        <w:pStyle w:val="BodyText"/>
        <w:ind w:left="0"/>
        <w:rPr>
          <w:b w:val="0"/>
          <w:sz w:val="34"/>
        </w:rPr>
      </w:pPr>
    </w:p>
    <w:p>
      <w:pPr>
        <w:pStyle w:val="BodyText"/>
        <w:tabs>
          <w:tab w:pos="7428" w:val="left" w:leader="none"/>
        </w:tabs>
        <w:spacing w:line="491" w:lineRule="auto" w:before="282"/>
        <w:ind w:left="4567" w:right="391" w:hanging="4066"/>
        <w:rPr>
          <w:b w:val="0"/>
        </w:rPr>
      </w:pPr>
      <w:r>
        <w:rPr>
          <w:b w:val="0"/>
          <w:color w:val="000009"/>
        </w:rPr>
        <w:t>Smt. Sangita Arya</w:t>
      </w:r>
      <w:r>
        <w:rPr>
          <w:b w:val="0"/>
          <w:color w:val="000009"/>
          <w:spacing w:val="-7"/>
        </w:rPr>
        <w:t> </w:t>
      </w:r>
      <w:r>
        <w:rPr>
          <w:b w:val="0"/>
          <w:color w:val="000009"/>
        </w:rPr>
        <w:t>&amp;</w:t>
      </w:r>
      <w:r>
        <w:rPr>
          <w:b w:val="0"/>
          <w:color w:val="000009"/>
          <w:spacing w:val="-2"/>
        </w:rPr>
        <w:t> </w:t>
      </w:r>
      <w:r>
        <w:rPr>
          <w:b w:val="0"/>
          <w:color w:val="000009"/>
        </w:rPr>
        <w:t>Ors.</w:t>
        <w:tab/>
        <w:tab/>
        <w:t>… </w:t>
      </w:r>
      <w:r>
        <w:rPr>
          <w:b w:val="0"/>
          <w:color w:val="000009"/>
          <w:spacing w:val="-3"/>
        </w:rPr>
        <w:t>Appellants </w:t>
      </w:r>
      <w:r>
        <w:rPr>
          <w:b w:val="0"/>
          <w:color w:val="000009"/>
        </w:rPr>
        <w:t>versus</w:t>
      </w:r>
    </w:p>
    <w:p>
      <w:pPr>
        <w:pStyle w:val="BodyText"/>
        <w:tabs>
          <w:tab w:pos="7169" w:val="left" w:leader="none"/>
        </w:tabs>
        <w:ind w:left="331"/>
        <w:jc w:val="center"/>
        <w:rPr>
          <w:b w:val="0"/>
        </w:rPr>
      </w:pPr>
      <w:r>
        <w:rPr>
          <w:b w:val="0"/>
          <w:color w:val="000009"/>
        </w:rPr>
        <w:t>Oriental Insurance Co. Ltd.</w:t>
      </w:r>
      <w:r>
        <w:rPr>
          <w:b w:val="0"/>
          <w:color w:val="000009"/>
          <w:spacing w:val="-8"/>
        </w:rPr>
        <w:t> </w:t>
      </w:r>
      <w:r>
        <w:rPr>
          <w:b w:val="0"/>
          <w:color w:val="000009"/>
        </w:rPr>
        <w:t>&amp;</w:t>
      </w:r>
      <w:r>
        <w:rPr>
          <w:b w:val="0"/>
          <w:color w:val="000009"/>
          <w:spacing w:val="-2"/>
        </w:rPr>
        <w:t> </w:t>
      </w:r>
      <w:r>
        <w:rPr>
          <w:b w:val="0"/>
          <w:color w:val="000009"/>
        </w:rPr>
        <w:t>Ors.</w:t>
        <w:tab/>
        <w:t>…</w:t>
      </w:r>
      <w:r>
        <w:rPr>
          <w:b w:val="0"/>
          <w:color w:val="000009"/>
          <w:spacing w:val="-3"/>
        </w:rPr>
        <w:t> </w:t>
      </w:r>
      <w:r>
        <w:rPr>
          <w:b w:val="0"/>
          <w:color w:val="000009"/>
        </w:rPr>
        <w:t>Respondents</w:t>
      </w:r>
    </w:p>
    <w:p>
      <w:pPr>
        <w:pStyle w:val="BodyText"/>
        <w:ind w:left="0"/>
        <w:rPr>
          <w:b w:val="0"/>
          <w:sz w:val="34"/>
        </w:rPr>
      </w:pPr>
    </w:p>
    <w:p>
      <w:pPr>
        <w:pStyle w:val="BodyText"/>
        <w:ind w:left="0"/>
        <w:rPr>
          <w:b w:val="0"/>
          <w:sz w:val="34"/>
        </w:rPr>
      </w:pPr>
    </w:p>
    <w:p>
      <w:pPr>
        <w:pStyle w:val="BodyText"/>
        <w:spacing w:before="297"/>
        <w:ind w:left="2413" w:right="2023"/>
        <w:jc w:val="center"/>
        <w:rPr>
          <w:b/>
        </w:rPr>
      </w:pPr>
      <w:r>
        <w:rPr>
          <w:b/>
          <w:color w:val="000009"/>
          <w:u w:val="thick" w:color="000009"/>
        </w:rPr>
        <w:t>J U D G M E N T</w:t>
      </w:r>
    </w:p>
    <w:p>
      <w:pPr>
        <w:pStyle w:val="BodyText"/>
        <w:spacing w:before="6"/>
        <w:ind w:left="0"/>
        <w:rPr>
          <w:b/>
          <w:sz w:val="24"/>
        </w:rPr>
      </w:pPr>
    </w:p>
    <w:p>
      <w:pPr>
        <w:pStyle w:val="BodyText"/>
        <w:spacing w:before="116"/>
        <w:ind w:left="501"/>
        <w:rPr>
          <w:b/>
        </w:rPr>
      </w:pPr>
      <w:r>
        <w:rPr>
          <w:b/>
          <w:color w:val="000009"/>
          <w:u w:val="thick" w:color="000009"/>
        </w:rPr>
        <w:t>INDU MALHOTRA, J.</w:t>
      </w:r>
    </w:p>
    <w:p>
      <w:pPr>
        <w:pStyle w:val="BodyText"/>
        <w:spacing w:before="6"/>
        <w:ind w:left="0"/>
        <w:rPr>
          <w:b/>
          <w:sz w:val="24"/>
        </w:rPr>
      </w:pPr>
    </w:p>
    <w:p>
      <w:pPr>
        <w:pStyle w:val="BodyText"/>
        <w:spacing w:before="98"/>
        <w:rPr>
          <w:b w:val="0"/>
        </w:rPr>
      </w:pPr>
      <w:r>
        <w:rPr>
          <w:b w:val="0"/>
          <w:color w:val="000009"/>
        </w:rPr>
        <w:t>Leave granted.</w:t>
      </w:r>
    </w:p>
    <w:p>
      <w:pPr>
        <w:pStyle w:val="BodyText"/>
        <w:spacing w:before="4"/>
        <w:ind w:left="0"/>
        <w:rPr>
          <w:b w:val="0"/>
          <w:sz w:val="29"/>
        </w:rPr>
      </w:pPr>
    </w:p>
    <w:p>
      <w:pPr>
        <w:pStyle w:val="ListParagraph"/>
        <w:numPr>
          <w:ilvl w:val="0"/>
          <w:numId w:val="1"/>
        </w:numPr>
        <w:tabs>
          <w:tab w:pos="1667" w:val="left" w:leader="none"/>
          <w:tab w:pos="1668" w:val="left" w:leader="none"/>
        </w:tabs>
        <w:spacing w:line="491" w:lineRule="auto" w:before="1" w:after="0"/>
        <w:ind w:left="1070" w:right="120" w:hanging="568"/>
        <w:jc w:val="both"/>
        <w:rPr>
          <w:rFonts w:ascii="Lucida Sans"/>
          <w:b w:val="0"/>
          <w:color w:val="000009"/>
          <w:sz w:val="22"/>
        </w:rPr>
      </w:pPr>
      <w:r>
        <w:rPr/>
        <w:tab/>
      </w:r>
      <w:r>
        <w:rPr>
          <w:b w:val="0"/>
          <w:color w:val="000009"/>
          <w:sz w:val="28"/>
        </w:rPr>
        <w:t>The present civil appeal has been filed by the Claimants/Dependents of one Harish Singh Arya, who died at the age of 35 years in a motor vehicle accident on 18.06.2007.</w:t>
      </w:r>
    </w:p>
    <w:p>
      <w:pPr>
        <w:pStyle w:val="ListParagraph"/>
        <w:numPr>
          <w:ilvl w:val="0"/>
          <w:numId w:val="1"/>
        </w:numPr>
        <w:tabs>
          <w:tab w:pos="1427" w:val="left" w:leader="none"/>
        </w:tabs>
        <w:spacing w:line="491" w:lineRule="auto" w:before="0" w:after="0"/>
        <w:ind w:left="1070" w:right="127" w:hanging="568"/>
        <w:jc w:val="both"/>
        <w:rPr>
          <w:rFonts w:ascii="Lucida Sans"/>
          <w:b w:val="0"/>
          <w:color w:val="000009"/>
          <w:sz w:val="22"/>
        </w:rPr>
      </w:pPr>
      <w:r>
        <w:rPr/>
        <w:tab/>
      </w:r>
      <w:r>
        <w:rPr>
          <w:b w:val="0"/>
          <w:color w:val="000009"/>
          <w:sz w:val="28"/>
        </w:rPr>
        <w:t>On 18.06.2007, the deceased Harish Singh Arya had</w:t>
      </w:r>
      <w:r>
        <w:rPr>
          <w:b w:val="0"/>
          <w:color w:val="000009"/>
          <w:spacing w:val="-21"/>
          <w:sz w:val="28"/>
        </w:rPr>
        <w:t> </w:t>
      </w:r>
      <w:r>
        <w:rPr>
          <w:b w:val="0"/>
          <w:color w:val="000009"/>
          <w:sz w:val="28"/>
        </w:rPr>
        <w:t>taken his   uncle   Govind   Lal   Arya,  an  Enforcement   Officer</w:t>
      </w:r>
      <w:r>
        <w:rPr>
          <w:b w:val="0"/>
          <w:color w:val="000009"/>
          <w:spacing w:val="6"/>
          <w:sz w:val="28"/>
        </w:rPr>
        <w:t> </w:t>
      </w:r>
      <w:r>
        <w:rPr>
          <w:b w:val="0"/>
          <w:color w:val="000009"/>
          <w:sz w:val="28"/>
        </w:rPr>
        <w:t>for</w:t>
      </w:r>
    </w:p>
    <w:p>
      <w:pPr>
        <w:pStyle w:val="BodyText"/>
        <w:spacing w:before="1"/>
        <w:rPr>
          <w:b w:val="0"/>
        </w:rPr>
      </w:pPr>
      <w:r>
        <w:rPr>
          <w:b w:val="0"/>
          <w:color w:val="000009"/>
        </w:rPr>
        <w:t>Passenger</w:t>
      </w:r>
      <w:r>
        <w:rPr>
          <w:b w:val="0"/>
          <w:color w:val="000009"/>
          <w:spacing w:val="67"/>
        </w:rPr>
        <w:t> </w:t>
      </w:r>
      <w:r>
        <w:rPr>
          <w:b w:val="0"/>
          <w:color w:val="000009"/>
        </w:rPr>
        <w:t>Tax,</w:t>
      </w:r>
      <w:r>
        <w:rPr>
          <w:b w:val="0"/>
          <w:color w:val="000009"/>
          <w:spacing w:val="69"/>
        </w:rPr>
        <w:t> </w:t>
      </w:r>
      <w:r>
        <w:rPr>
          <w:b w:val="0"/>
          <w:color w:val="000009"/>
        </w:rPr>
        <w:t>Champawat</w:t>
      </w:r>
      <w:r>
        <w:rPr>
          <w:b w:val="0"/>
          <w:color w:val="000009"/>
          <w:spacing w:val="68"/>
        </w:rPr>
        <w:t> </w:t>
      </w:r>
      <w:r>
        <w:rPr>
          <w:b w:val="0"/>
          <w:color w:val="000009"/>
        </w:rPr>
        <w:t>for</w:t>
      </w:r>
      <w:r>
        <w:rPr>
          <w:b w:val="0"/>
          <w:color w:val="000009"/>
          <w:spacing w:val="68"/>
        </w:rPr>
        <w:t> </w:t>
      </w:r>
      <w:r>
        <w:rPr>
          <w:b w:val="0"/>
          <w:color w:val="000009"/>
        </w:rPr>
        <w:t>inspection</w:t>
      </w:r>
      <w:r>
        <w:rPr>
          <w:b w:val="0"/>
          <w:color w:val="000009"/>
          <w:spacing w:val="66"/>
        </w:rPr>
        <w:t> </w:t>
      </w:r>
      <w:r>
        <w:rPr>
          <w:b w:val="0"/>
          <w:color w:val="000009"/>
        </w:rPr>
        <w:t>in</w:t>
      </w:r>
      <w:r>
        <w:rPr>
          <w:b w:val="0"/>
          <w:color w:val="000009"/>
          <w:spacing w:val="68"/>
        </w:rPr>
        <w:t> </w:t>
      </w:r>
      <w:r>
        <w:rPr>
          <w:b w:val="0"/>
          <w:color w:val="000009"/>
        </w:rPr>
        <w:t>his</w:t>
      </w:r>
      <w:r>
        <w:rPr>
          <w:b w:val="0"/>
          <w:color w:val="000009"/>
          <w:spacing w:val="69"/>
        </w:rPr>
        <w:t> </w:t>
      </w:r>
      <w:r>
        <w:rPr>
          <w:b w:val="0"/>
          <w:color w:val="000009"/>
        </w:rPr>
        <w:t>taxi.</w:t>
      </w:r>
      <w:r>
        <w:rPr>
          <w:b w:val="0"/>
          <w:color w:val="000009"/>
          <w:spacing w:val="69"/>
        </w:rPr>
        <w:t> </w:t>
      </w:r>
      <w:r>
        <w:rPr>
          <w:b w:val="0"/>
          <w:color w:val="000009"/>
        </w:rPr>
        <w:t>The</w:t>
      </w:r>
    </w:p>
    <w:p>
      <w:pPr>
        <w:pStyle w:val="BodyText"/>
        <w:spacing w:before="8"/>
        <w:ind w:left="0"/>
        <w:rPr>
          <w:b w:val="0"/>
          <w:sz w:val="8"/>
        </w:rPr>
      </w:pPr>
    </w:p>
    <w:p>
      <w:pPr>
        <w:spacing w:after="0"/>
        <w:rPr>
          <w:sz w:val="8"/>
        </w:rPr>
        <w:sectPr>
          <w:footerReference w:type="default" r:id="rId5"/>
          <w:type w:val="continuous"/>
          <w:pgSz w:w="11900" w:h="16840"/>
          <w:pgMar w:footer="1034" w:top="780" w:bottom="1220" w:left="940" w:right="1320"/>
          <w:pgNumType w:start="1"/>
        </w:sectPr>
      </w:pPr>
    </w:p>
    <w:p>
      <w:pPr>
        <w:pStyle w:val="BodyText"/>
        <w:spacing w:before="7"/>
        <w:ind w:left="0"/>
        <w:rPr>
          <w:b w:val="0"/>
          <w:sz w:val="8"/>
        </w:rPr>
      </w:pPr>
    </w:p>
    <w:p>
      <w:pPr>
        <w:spacing w:before="0"/>
        <w:ind w:left="100" w:right="0" w:firstLine="0"/>
        <w:jc w:val="left"/>
        <w:rPr>
          <w:rFonts w:ascii="Arial"/>
          <w:sz w:val="9"/>
        </w:rPr>
      </w:pPr>
      <w:r>
        <w:rPr/>
        <w:pict>
          <v:group style="position:absolute;margin-left:62.882401pt;margin-top:2.235352pt;width:21.85pt;height:31.5pt;mso-position-horizontal-relative:page;mso-position-vertical-relative:paragraph;z-index:-251885568"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480;top:-15530;width:11580;height:16960" coordorigin="1480,-15530" coordsize="11580,16960"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 </w:t>
      </w:r>
      <w:r>
        <w:rPr>
          <w:rFonts w:ascii="Arial"/>
          <w:spacing w:val="-3"/>
          <w:w w:val="105"/>
          <w:sz w:val="9"/>
        </w:rPr>
        <w:t>Verified</w:t>
      </w:r>
    </w:p>
    <w:p>
      <w:pPr>
        <w:pStyle w:val="BodyText"/>
        <w:spacing w:before="6"/>
        <w:ind w:left="0"/>
        <w:rPr>
          <w:rFonts w:ascii="Arial"/>
          <w:sz w:val="12"/>
        </w:rPr>
      </w:pPr>
    </w:p>
    <w:p>
      <w:pPr>
        <w:spacing w:line="218" w:lineRule="auto" w:before="0"/>
        <w:ind w:left="100" w:right="161" w:firstLine="0"/>
        <w:jc w:val="both"/>
        <w:rPr>
          <w:rFonts w:ascii="Arial"/>
          <w:sz w:val="9"/>
        </w:rPr>
      </w:pPr>
      <w:r>
        <w:rPr>
          <w:rFonts w:ascii="Arial"/>
          <w:w w:val="105"/>
          <w:sz w:val="9"/>
        </w:rPr>
        <w:t>Digitally signed </w:t>
      </w:r>
      <w:r>
        <w:rPr>
          <w:rFonts w:ascii="Arial"/>
          <w:spacing w:val="-9"/>
          <w:w w:val="105"/>
          <w:sz w:val="9"/>
        </w:rPr>
        <w:t>by </w:t>
      </w:r>
      <w:r>
        <w:rPr>
          <w:rFonts w:ascii="Arial"/>
          <w:w w:val="105"/>
          <w:sz w:val="9"/>
        </w:rPr>
        <w:t>MAHABIR </w:t>
      </w:r>
      <w:r>
        <w:rPr>
          <w:rFonts w:ascii="Arial"/>
          <w:spacing w:val="-3"/>
          <w:w w:val="105"/>
          <w:sz w:val="9"/>
        </w:rPr>
        <w:t>SINGH </w:t>
      </w:r>
      <w:r>
        <w:rPr>
          <w:rFonts w:ascii="Arial"/>
          <w:w w:val="105"/>
          <w:sz w:val="9"/>
        </w:rPr>
        <w:t>Date: 2020.06.16</w:t>
      </w:r>
    </w:p>
    <w:p>
      <w:pPr>
        <w:spacing w:line="90" w:lineRule="exact" w:before="0"/>
        <w:ind w:left="100" w:right="0" w:firstLine="0"/>
        <w:jc w:val="left"/>
        <w:rPr>
          <w:rFonts w:ascii="Arial"/>
          <w:sz w:val="9"/>
        </w:rPr>
      </w:pPr>
      <w:r>
        <w:rPr>
          <w:rFonts w:ascii="Arial"/>
          <w:w w:val="105"/>
          <w:sz w:val="9"/>
        </w:rPr>
        <w:t>17:06:00 IST</w:t>
      </w:r>
    </w:p>
    <w:p>
      <w:pPr>
        <w:spacing w:line="99" w:lineRule="exact" w:before="0"/>
        <w:ind w:left="100" w:right="0" w:firstLine="0"/>
        <w:jc w:val="left"/>
        <w:rPr>
          <w:rFonts w:ascii="Arial"/>
          <w:sz w:val="9"/>
        </w:rPr>
      </w:pPr>
      <w:r>
        <w:rPr>
          <w:rFonts w:ascii="Arial"/>
          <w:w w:val="105"/>
          <w:sz w:val="9"/>
        </w:rPr>
        <w:t>Reason:</w:t>
      </w:r>
    </w:p>
    <w:p>
      <w:pPr>
        <w:pStyle w:val="BodyText"/>
        <w:spacing w:line="491" w:lineRule="auto" w:before="243"/>
        <w:ind w:left="10"/>
        <w:rPr>
          <w:b w:val="0"/>
        </w:rPr>
      </w:pPr>
      <w:r>
        <w:rPr/>
        <w:br w:type="column"/>
      </w:r>
      <w:r>
        <w:rPr>
          <w:b w:val="0"/>
          <w:color w:val="000009"/>
        </w:rPr>
        <w:t>taxi had stopped on the side of the road at Village Chandini near Tanakpur – Khatema Road, Uttarakhand. The deceased</w:t>
      </w:r>
    </w:p>
    <w:p>
      <w:pPr>
        <w:spacing w:after="0" w:line="491" w:lineRule="auto"/>
        <w:sectPr>
          <w:type w:val="continuous"/>
          <w:pgSz w:w="11900" w:h="16840"/>
          <w:pgMar w:top="780" w:bottom="1220" w:left="940" w:right="1320"/>
          <w:cols w:num="2" w:equalWidth="0">
            <w:col w:w="1020" w:space="40"/>
            <w:col w:w="8580"/>
          </w:cols>
        </w:sectPr>
      </w:pPr>
    </w:p>
    <w:p>
      <w:pPr>
        <w:pStyle w:val="BodyText"/>
        <w:spacing w:line="491" w:lineRule="auto" w:before="70"/>
        <w:ind w:right="116"/>
        <w:jc w:val="both"/>
        <w:rPr>
          <w:b w:val="0"/>
        </w:rPr>
      </w:pPr>
      <w:r>
        <w:rPr>
          <w:b w:val="0"/>
          <w:color w:val="000009"/>
        </w:rPr>
        <w:t>had gone to answer nature’s call on the side of the road, when at about 2:30 p.m., one Tata Sumo bearing No. UP­ 02D­5208, being driven at a high speed from the wrong side of the road, hit the deceased, and seriously injured him. The Enforcement Team was able to stop the offending vehicle, however the driver of the vehicle fled from the spot. While Harish Singh Arya was being taken to Bareilly for hospitalization, he succumbed to his injuries. The F.I.R. of the accident was lodged by Mr. Govind Lal Arya, the uncle of the deceased, at P.S.</w:t>
      </w:r>
      <w:r>
        <w:rPr>
          <w:b w:val="0"/>
          <w:color w:val="000009"/>
          <w:spacing w:val="-3"/>
        </w:rPr>
        <w:t> </w:t>
      </w:r>
      <w:r>
        <w:rPr>
          <w:b w:val="0"/>
          <w:color w:val="000009"/>
        </w:rPr>
        <w:t>Banbasa.</w:t>
      </w:r>
    </w:p>
    <w:p>
      <w:pPr>
        <w:pStyle w:val="ListParagraph"/>
        <w:numPr>
          <w:ilvl w:val="0"/>
          <w:numId w:val="1"/>
        </w:numPr>
        <w:tabs>
          <w:tab w:pos="1699" w:val="left" w:leader="none"/>
        </w:tabs>
        <w:spacing w:line="491" w:lineRule="auto" w:before="2" w:after="0"/>
        <w:ind w:left="1070" w:right="120" w:hanging="568"/>
        <w:jc w:val="both"/>
        <w:rPr>
          <w:b w:val="0"/>
          <w:color w:val="000009"/>
          <w:sz w:val="28"/>
        </w:rPr>
      </w:pPr>
      <w:r>
        <w:rPr/>
        <w:tab/>
      </w:r>
      <w:r>
        <w:rPr>
          <w:b w:val="0"/>
          <w:color w:val="000009"/>
          <w:sz w:val="28"/>
        </w:rPr>
        <w:t>The Claimants filed a Claim Petition before the Motor Accident Claims Tribunal, Haldwani – Court of First Fast Track, Additional District Judge, Haldwani, District Nainital (MACT) being Compensation Claim No. 158 of 2007 for compensation on behalf of five dependents i.e. the widow,</w:t>
      </w:r>
      <w:r>
        <w:rPr>
          <w:b w:val="0"/>
          <w:color w:val="000009"/>
          <w:spacing w:val="-23"/>
          <w:sz w:val="28"/>
        </w:rPr>
        <w:t> </w:t>
      </w:r>
      <w:r>
        <w:rPr>
          <w:b w:val="0"/>
          <w:color w:val="000009"/>
          <w:sz w:val="28"/>
        </w:rPr>
        <w:t>two minor daughters, and the parents of the</w:t>
      </w:r>
      <w:r>
        <w:rPr>
          <w:b w:val="0"/>
          <w:color w:val="000009"/>
          <w:spacing w:val="-7"/>
          <w:sz w:val="28"/>
        </w:rPr>
        <w:t> </w:t>
      </w:r>
      <w:r>
        <w:rPr>
          <w:b w:val="0"/>
          <w:color w:val="000009"/>
          <w:sz w:val="28"/>
        </w:rPr>
        <w:t>deceased.</w:t>
      </w:r>
    </w:p>
    <w:p>
      <w:pPr>
        <w:pStyle w:val="BodyText"/>
        <w:spacing w:line="491" w:lineRule="auto" w:before="1"/>
        <w:ind w:right="123" w:firstLine="566"/>
        <w:jc w:val="both"/>
        <w:rPr>
          <w:b w:val="0"/>
        </w:rPr>
      </w:pPr>
      <w:r>
        <w:rPr>
          <w:b w:val="0"/>
          <w:color w:val="000009"/>
        </w:rPr>
        <w:t>The Claimants submitted that the deceased owned two taxis from which he earned approximately Rs. 1,00,000 p.a. after deduction of all expenses.</w:t>
      </w:r>
    </w:p>
    <w:p>
      <w:pPr>
        <w:pStyle w:val="BodyText"/>
        <w:spacing w:line="491" w:lineRule="auto" w:before="1"/>
        <w:ind w:right="122" w:firstLine="566"/>
        <w:jc w:val="both"/>
        <w:rPr>
          <w:b w:val="0"/>
        </w:rPr>
      </w:pPr>
      <w:r>
        <w:rPr>
          <w:b w:val="0"/>
          <w:color w:val="000009"/>
        </w:rPr>
        <w:t>The road accident was proved by the oral testimony of the eye­witness Shri Govind Lal Arya (PW­2),</w:t>
      </w:r>
      <w:r>
        <w:rPr>
          <w:b w:val="0"/>
          <w:color w:val="000009"/>
          <w:spacing w:val="46"/>
        </w:rPr>
        <w:t> </w:t>
      </w:r>
      <w:r>
        <w:rPr>
          <w:b w:val="0"/>
          <w:color w:val="000009"/>
        </w:rPr>
        <w:t>who was</w:t>
      </w:r>
    </w:p>
    <w:p>
      <w:pPr>
        <w:pStyle w:val="BodyText"/>
        <w:jc w:val="both"/>
        <w:rPr>
          <w:b w:val="0"/>
        </w:rPr>
      </w:pPr>
      <w:r>
        <w:rPr>
          <w:b w:val="0"/>
          <w:color w:val="000009"/>
        </w:rPr>
        <w:t>accompanying the deceased, and had lodged the F.I.R.</w:t>
      </w:r>
    </w:p>
    <w:p>
      <w:pPr>
        <w:spacing w:after="0"/>
        <w:jc w:val="both"/>
        <w:sectPr>
          <w:pgSz w:w="11900" w:h="16840"/>
          <w:pgMar w:header="0" w:footer="1034" w:top="780" w:bottom="1220" w:left="940" w:right="1320"/>
        </w:sectPr>
      </w:pPr>
    </w:p>
    <w:p>
      <w:pPr>
        <w:pStyle w:val="BodyText"/>
        <w:spacing w:line="491" w:lineRule="auto" w:before="70"/>
        <w:ind w:right="118" w:firstLine="566"/>
        <w:jc w:val="both"/>
        <w:rPr>
          <w:b w:val="0"/>
        </w:rPr>
      </w:pPr>
      <w:r>
        <w:rPr>
          <w:b w:val="0"/>
          <w:color w:val="000009"/>
        </w:rPr>
        <w:t>With respect to payment of compensation, the Claimants submitted that the deceased owned two taxis, which generated an income of Rs. 1,00,000 p.a. The R.T.O., Motor Vehicles Department, Haldwani produced certificates of both the vehicles bearing No. UP­02D­5111 and UP­04D­0111 before the MACT, which showed that the vehicles were purchased by the deceased Harish Singh Arya, and</w:t>
      </w:r>
      <w:r>
        <w:rPr>
          <w:b w:val="0"/>
          <w:color w:val="000009"/>
          <w:spacing w:val="60"/>
        </w:rPr>
        <w:t> </w:t>
      </w:r>
      <w:r>
        <w:rPr>
          <w:b w:val="0"/>
          <w:color w:val="000009"/>
        </w:rPr>
        <w:t>were registered in his name.</w:t>
      </w:r>
    </w:p>
    <w:p>
      <w:pPr>
        <w:pStyle w:val="BodyText"/>
        <w:spacing w:line="491" w:lineRule="auto" w:before="1"/>
        <w:ind w:right="120" w:firstLine="566"/>
        <w:jc w:val="both"/>
        <w:rPr>
          <w:b w:val="0"/>
        </w:rPr>
      </w:pPr>
      <w:r>
        <w:rPr>
          <w:b w:val="0"/>
          <w:color w:val="000009"/>
        </w:rPr>
        <w:t>The Claimants filed four Income Tax Returns (ITRs) of the deceased for the years 2002­03, 2003­04, 2004­05, and 2006­07. The ITR for the year 2006­07 was Rs. 98,500 p.a. A photocopy of the ITR bearing the stamp of receipt from the Income Tax Department, was placed on</w:t>
      </w:r>
      <w:r>
        <w:rPr>
          <w:b w:val="0"/>
          <w:color w:val="000009"/>
          <w:spacing w:val="-5"/>
        </w:rPr>
        <w:t> </w:t>
      </w:r>
      <w:r>
        <w:rPr>
          <w:b w:val="0"/>
          <w:color w:val="000009"/>
        </w:rPr>
        <w:t>record.</w:t>
      </w:r>
    </w:p>
    <w:p>
      <w:pPr>
        <w:pStyle w:val="ListParagraph"/>
        <w:numPr>
          <w:ilvl w:val="0"/>
          <w:numId w:val="1"/>
        </w:numPr>
        <w:tabs>
          <w:tab w:pos="1643" w:val="left" w:leader="none"/>
        </w:tabs>
        <w:spacing w:line="491" w:lineRule="auto" w:before="10" w:after="0"/>
        <w:ind w:left="1070" w:right="114" w:hanging="568"/>
        <w:jc w:val="both"/>
        <w:rPr>
          <w:b w:val="0"/>
          <w:color w:val="000009"/>
          <w:sz w:val="28"/>
        </w:rPr>
      </w:pPr>
      <w:r>
        <w:rPr/>
        <w:tab/>
      </w:r>
      <w:r>
        <w:rPr>
          <w:b w:val="0"/>
          <w:color w:val="000009"/>
          <w:sz w:val="28"/>
        </w:rPr>
        <w:t>The MACT </w:t>
      </w:r>
      <w:r>
        <w:rPr>
          <w:b w:val="0"/>
          <w:i/>
          <w:color w:val="000009"/>
          <w:sz w:val="28"/>
        </w:rPr>
        <w:t>vide </w:t>
      </w:r>
      <w:r>
        <w:rPr>
          <w:b w:val="0"/>
          <w:color w:val="000009"/>
          <w:sz w:val="28"/>
        </w:rPr>
        <w:t>Award dated 22.12.2009 held that on the date of the accident, the deceased was 35 years of age, and his income was Rs. 1,00,000 p.a. The deceased had left behind five dependents i.e. his wife, parents and two minor daughters. The MACT deducted 1/4</w:t>
      </w:r>
      <w:r>
        <w:rPr>
          <w:b w:val="0"/>
          <w:color w:val="000009"/>
          <w:position w:val="11"/>
          <w:sz w:val="16"/>
        </w:rPr>
        <w:t>th </w:t>
      </w:r>
      <w:r>
        <w:rPr>
          <w:b w:val="0"/>
          <w:color w:val="000009"/>
          <w:sz w:val="28"/>
        </w:rPr>
        <w:t>of his income towards personal expenses, and adopted the multiplier of</w:t>
      </w:r>
      <w:r>
        <w:rPr>
          <w:b w:val="0"/>
          <w:color w:val="000009"/>
          <w:spacing w:val="62"/>
          <w:sz w:val="28"/>
        </w:rPr>
        <w:t> </w:t>
      </w:r>
      <w:r>
        <w:rPr>
          <w:b w:val="0"/>
          <w:color w:val="000009"/>
          <w:sz w:val="28"/>
        </w:rPr>
        <w:t>16. Accordingly, the loss of dependency was computed at Rs. 12,20,000.</w:t>
      </w:r>
    </w:p>
    <w:p>
      <w:pPr>
        <w:spacing w:after="0" w:line="491" w:lineRule="auto"/>
        <w:jc w:val="both"/>
        <w:rPr>
          <w:sz w:val="28"/>
        </w:rPr>
        <w:sectPr>
          <w:pgSz w:w="11900" w:h="16840"/>
          <w:pgMar w:header="0" w:footer="1034" w:top="780" w:bottom="1220" w:left="940" w:right="1320"/>
        </w:sectPr>
      </w:pPr>
    </w:p>
    <w:p>
      <w:pPr>
        <w:pStyle w:val="BodyText"/>
        <w:spacing w:line="491" w:lineRule="auto" w:before="70"/>
        <w:ind w:right="121" w:firstLine="566"/>
        <w:jc w:val="both"/>
        <w:rPr>
          <w:b w:val="0"/>
        </w:rPr>
      </w:pPr>
      <w:r>
        <w:rPr>
          <w:b w:val="0"/>
          <w:color w:val="000009"/>
        </w:rPr>
        <w:t>The MACT further awarded Rs. 20,000 to the widow towards loss of consortium, Rs. 10,000 to the minor daughters towards loss of love and affection, and Rs. 5,000 towards funeral expenses. The total compensation awarded to the Claimants worked out to Rs. 12,55,000 with Interest @6%</w:t>
      </w:r>
      <w:r>
        <w:rPr>
          <w:b w:val="0"/>
          <w:color w:val="000009"/>
          <w:spacing w:val="-1"/>
        </w:rPr>
        <w:t> </w:t>
      </w:r>
      <w:r>
        <w:rPr>
          <w:b w:val="0"/>
          <w:color w:val="000009"/>
        </w:rPr>
        <w:t>p.a.</w:t>
      </w:r>
    </w:p>
    <w:p>
      <w:pPr>
        <w:pStyle w:val="BodyText"/>
        <w:spacing w:line="491" w:lineRule="auto" w:before="1"/>
        <w:ind w:right="123" w:firstLine="566"/>
        <w:jc w:val="both"/>
        <w:rPr>
          <w:b w:val="0"/>
        </w:rPr>
      </w:pPr>
      <w:r>
        <w:rPr>
          <w:b w:val="0"/>
          <w:color w:val="000009"/>
        </w:rPr>
        <w:t>The Respondent No. 1 – Insurance Company was held liable for payment of compensation to the Claimants.</w:t>
      </w:r>
    </w:p>
    <w:p>
      <w:pPr>
        <w:pStyle w:val="ListParagraph"/>
        <w:numPr>
          <w:ilvl w:val="0"/>
          <w:numId w:val="1"/>
        </w:numPr>
        <w:tabs>
          <w:tab w:pos="1455" w:val="left" w:leader="none"/>
        </w:tabs>
        <w:spacing w:line="491" w:lineRule="auto" w:before="0" w:after="0"/>
        <w:ind w:left="1070" w:right="124" w:hanging="440"/>
        <w:jc w:val="both"/>
        <w:rPr>
          <w:b w:val="0"/>
          <w:color w:val="000009"/>
          <w:sz w:val="28"/>
        </w:rPr>
      </w:pPr>
      <w:r>
        <w:rPr/>
        <w:tab/>
      </w:r>
      <w:r>
        <w:rPr>
          <w:b w:val="0"/>
          <w:color w:val="000009"/>
          <w:sz w:val="28"/>
        </w:rPr>
        <w:t>Aggrieved by the aforesaid Award, the Insurance Company filed Appeal from Order No. 117 of 2010 before the High Court of Uttarakhand at</w:t>
      </w:r>
      <w:r>
        <w:rPr>
          <w:b w:val="0"/>
          <w:color w:val="000009"/>
          <w:spacing w:val="-2"/>
          <w:sz w:val="28"/>
        </w:rPr>
        <w:t> </w:t>
      </w:r>
      <w:r>
        <w:rPr>
          <w:b w:val="0"/>
          <w:color w:val="000009"/>
          <w:sz w:val="28"/>
        </w:rPr>
        <w:t>Nainital.</w:t>
      </w:r>
    </w:p>
    <w:p>
      <w:pPr>
        <w:pStyle w:val="BodyText"/>
        <w:spacing w:line="491" w:lineRule="auto" w:before="9"/>
        <w:ind w:right="110" w:firstLine="566"/>
        <w:jc w:val="both"/>
        <w:rPr>
          <w:b w:val="0"/>
        </w:rPr>
      </w:pPr>
      <w:r>
        <w:rPr>
          <w:b w:val="0"/>
          <w:color w:val="000009"/>
        </w:rPr>
        <w:t>The learned Single Judge of the High Court </w:t>
      </w:r>
      <w:r>
        <w:rPr>
          <w:b w:val="0"/>
          <w:i/>
          <w:color w:val="000009"/>
        </w:rPr>
        <w:t>vide</w:t>
      </w:r>
      <w:r>
        <w:rPr>
          <w:b w:val="0"/>
          <w:i/>
          <w:color w:val="000009"/>
          <w:spacing w:val="63"/>
        </w:rPr>
        <w:t> </w:t>
      </w:r>
      <w:r>
        <w:rPr>
          <w:b w:val="0"/>
          <w:color w:val="000009"/>
        </w:rPr>
        <w:t>the impugned judgment dated 22.07.2016 erroneously assumed that the deceased was a Government servant, and observed that he was running a parallel business by plying taxis. There is no basis for finding that the deceased was a Government employee. We do not know as to on what basis the learned Single Judge has arrived at this factually incorrect conclusion, and made it the basis for awarding compensation.</w:t>
      </w:r>
    </w:p>
    <w:p>
      <w:pPr>
        <w:pStyle w:val="BodyText"/>
        <w:spacing w:before="4"/>
        <w:ind w:left="0" w:right="123"/>
        <w:jc w:val="right"/>
        <w:rPr>
          <w:b w:val="0"/>
        </w:rPr>
      </w:pPr>
      <w:r>
        <w:rPr>
          <w:b w:val="0"/>
          <w:color w:val="000009"/>
        </w:rPr>
        <w:t>The</w:t>
      </w:r>
      <w:r>
        <w:rPr>
          <w:b w:val="0"/>
          <w:color w:val="000009"/>
          <w:spacing w:val="33"/>
        </w:rPr>
        <w:t> </w:t>
      </w:r>
      <w:r>
        <w:rPr>
          <w:b w:val="0"/>
          <w:color w:val="000009"/>
        </w:rPr>
        <w:t>High</w:t>
      </w:r>
      <w:r>
        <w:rPr>
          <w:b w:val="0"/>
          <w:color w:val="000009"/>
          <w:spacing w:val="34"/>
        </w:rPr>
        <w:t> </w:t>
      </w:r>
      <w:r>
        <w:rPr>
          <w:b w:val="0"/>
          <w:color w:val="000009"/>
        </w:rPr>
        <w:t>Court</w:t>
      </w:r>
      <w:r>
        <w:rPr>
          <w:b w:val="0"/>
          <w:color w:val="000009"/>
          <w:spacing w:val="33"/>
        </w:rPr>
        <w:t> </w:t>
      </w:r>
      <w:r>
        <w:rPr>
          <w:b w:val="0"/>
          <w:color w:val="000009"/>
        </w:rPr>
        <w:t>further</w:t>
      </w:r>
      <w:r>
        <w:rPr>
          <w:b w:val="0"/>
          <w:color w:val="000009"/>
          <w:spacing w:val="34"/>
        </w:rPr>
        <w:t> </w:t>
      </w:r>
      <w:r>
        <w:rPr>
          <w:b w:val="0"/>
          <w:color w:val="000009"/>
        </w:rPr>
        <w:t>held</w:t>
      </w:r>
      <w:r>
        <w:rPr>
          <w:b w:val="0"/>
          <w:color w:val="000009"/>
          <w:spacing w:val="34"/>
        </w:rPr>
        <w:t> </w:t>
      </w:r>
      <w:r>
        <w:rPr>
          <w:b w:val="0"/>
          <w:color w:val="000009"/>
        </w:rPr>
        <w:t>that</w:t>
      </w:r>
      <w:r>
        <w:rPr>
          <w:b w:val="0"/>
          <w:color w:val="000009"/>
          <w:spacing w:val="33"/>
        </w:rPr>
        <w:t> </w:t>
      </w:r>
      <w:r>
        <w:rPr>
          <w:b w:val="0"/>
          <w:color w:val="000009"/>
        </w:rPr>
        <w:t>the</w:t>
      </w:r>
      <w:r>
        <w:rPr>
          <w:b w:val="0"/>
          <w:color w:val="000009"/>
          <w:spacing w:val="33"/>
        </w:rPr>
        <w:t> </w:t>
      </w:r>
      <w:r>
        <w:rPr>
          <w:b w:val="0"/>
          <w:color w:val="000009"/>
        </w:rPr>
        <w:t>ITRs</w:t>
      </w:r>
      <w:r>
        <w:rPr>
          <w:b w:val="0"/>
          <w:color w:val="000009"/>
          <w:spacing w:val="34"/>
        </w:rPr>
        <w:t> </w:t>
      </w:r>
      <w:r>
        <w:rPr>
          <w:b w:val="0"/>
          <w:color w:val="000009"/>
        </w:rPr>
        <w:t>for</w:t>
      </w:r>
      <w:r>
        <w:rPr>
          <w:b w:val="0"/>
          <w:color w:val="000009"/>
          <w:spacing w:val="34"/>
        </w:rPr>
        <w:t> </w:t>
      </w:r>
      <w:r>
        <w:rPr>
          <w:b w:val="0"/>
          <w:color w:val="000009"/>
        </w:rPr>
        <w:t>the</w:t>
      </w:r>
      <w:r>
        <w:rPr>
          <w:b w:val="0"/>
          <w:color w:val="000009"/>
          <w:spacing w:val="34"/>
        </w:rPr>
        <w:t> </w:t>
      </w:r>
      <w:r>
        <w:rPr>
          <w:b w:val="0"/>
          <w:color w:val="000009"/>
        </w:rPr>
        <w:t>years</w:t>
      </w:r>
    </w:p>
    <w:p>
      <w:pPr>
        <w:pStyle w:val="BodyText"/>
        <w:spacing w:before="5"/>
        <w:ind w:left="0"/>
        <w:rPr>
          <w:b w:val="0"/>
          <w:sz w:val="29"/>
        </w:rPr>
      </w:pPr>
    </w:p>
    <w:p>
      <w:pPr>
        <w:pStyle w:val="BodyText"/>
        <w:ind w:left="0" w:right="121"/>
        <w:jc w:val="right"/>
        <w:rPr>
          <w:b w:val="0"/>
        </w:rPr>
      </w:pPr>
      <w:r>
        <w:rPr>
          <w:b w:val="0"/>
          <w:color w:val="000009"/>
        </w:rPr>
        <w:t>2002­03,  2003­04  and  2004­05  showed  that  the </w:t>
      </w:r>
      <w:r>
        <w:rPr>
          <w:b w:val="0"/>
          <w:color w:val="000009"/>
          <w:spacing w:val="49"/>
        </w:rPr>
        <w:t> </w:t>
      </w:r>
      <w:r>
        <w:rPr>
          <w:b w:val="0"/>
          <w:color w:val="000009"/>
        </w:rPr>
        <w:t>average</w:t>
      </w:r>
    </w:p>
    <w:p>
      <w:pPr>
        <w:spacing w:after="0"/>
        <w:jc w:val="right"/>
        <w:sectPr>
          <w:pgSz w:w="11900" w:h="16840"/>
          <w:pgMar w:header="0" w:footer="1034" w:top="780" w:bottom="1220" w:left="940" w:right="1320"/>
        </w:sectPr>
      </w:pPr>
    </w:p>
    <w:p>
      <w:pPr>
        <w:pStyle w:val="BodyText"/>
        <w:spacing w:before="70"/>
        <w:jc w:val="both"/>
        <w:rPr>
          <w:b w:val="0"/>
        </w:rPr>
      </w:pPr>
      <w:r>
        <w:rPr>
          <w:b w:val="0"/>
          <w:color w:val="000009"/>
        </w:rPr>
        <w:t>income</w:t>
      </w:r>
      <w:r>
        <w:rPr>
          <w:b w:val="0"/>
          <w:color w:val="000009"/>
          <w:spacing w:val="17"/>
        </w:rPr>
        <w:t> </w:t>
      </w:r>
      <w:r>
        <w:rPr>
          <w:b w:val="0"/>
          <w:color w:val="000009"/>
        </w:rPr>
        <w:t>of</w:t>
      </w:r>
      <w:r>
        <w:rPr>
          <w:b w:val="0"/>
          <w:color w:val="000009"/>
          <w:spacing w:val="18"/>
        </w:rPr>
        <w:t> </w:t>
      </w:r>
      <w:r>
        <w:rPr>
          <w:b w:val="0"/>
          <w:color w:val="000009"/>
        </w:rPr>
        <w:t>the</w:t>
      </w:r>
      <w:r>
        <w:rPr>
          <w:b w:val="0"/>
          <w:color w:val="000009"/>
          <w:spacing w:val="18"/>
        </w:rPr>
        <w:t> </w:t>
      </w:r>
      <w:r>
        <w:rPr>
          <w:b w:val="0"/>
          <w:color w:val="000009"/>
        </w:rPr>
        <w:t>deceased</w:t>
      </w:r>
      <w:r>
        <w:rPr>
          <w:b w:val="0"/>
          <w:color w:val="000009"/>
          <w:spacing w:val="18"/>
        </w:rPr>
        <w:t> </w:t>
      </w:r>
      <w:r>
        <w:rPr>
          <w:b w:val="0"/>
          <w:color w:val="000009"/>
        </w:rPr>
        <w:t>for</w:t>
      </w:r>
      <w:r>
        <w:rPr>
          <w:b w:val="0"/>
          <w:color w:val="000009"/>
          <w:spacing w:val="17"/>
        </w:rPr>
        <w:t> </w:t>
      </w:r>
      <w:r>
        <w:rPr>
          <w:b w:val="0"/>
          <w:color w:val="000009"/>
        </w:rPr>
        <w:t>these</w:t>
      </w:r>
      <w:r>
        <w:rPr>
          <w:b w:val="0"/>
          <w:color w:val="000009"/>
          <w:spacing w:val="16"/>
        </w:rPr>
        <w:t> </w:t>
      </w:r>
      <w:r>
        <w:rPr>
          <w:b w:val="0"/>
          <w:color w:val="000009"/>
        </w:rPr>
        <w:t>three</w:t>
      </w:r>
      <w:r>
        <w:rPr>
          <w:b w:val="0"/>
          <w:color w:val="000009"/>
          <w:spacing w:val="18"/>
        </w:rPr>
        <w:t> </w:t>
      </w:r>
      <w:r>
        <w:rPr>
          <w:b w:val="0"/>
          <w:color w:val="000009"/>
        </w:rPr>
        <w:t>years</w:t>
      </w:r>
      <w:r>
        <w:rPr>
          <w:b w:val="0"/>
          <w:color w:val="000009"/>
          <w:spacing w:val="18"/>
        </w:rPr>
        <w:t> </w:t>
      </w:r>
      <w:r>
        <w:rPr>
          <w:b w:val="0"/>
          <w:color w:val="000009"/>
        </w:rPr>
        <w:t>was</w:t>
      </w:r>
      <w:r>
        <w:rPr>
          <w:b w:val="0"/>
          <w:color w:val="000009"/>
          <w:spacing w:val="18"/>
        </w:rPr>
        <w:t> </w:t>
      </w:r>
      <w:r>
        <w:rPr>
          <w:b w:val="0"/>
          <w:color w:val="000009"/>
        </w:rPr>
        <w:t>Rs.</w:t>
      </w:r>
      <w:r>
        <w:rPr>
          <w:b w:val="0"/>
          <w:color w:val="000009"/>
          <w:spacing w:val="17"/>
        </w:rPr>
        <w:t> </w:t>
      </w:r>
      <w:r>
        <w:rPr>
          <w:b w:val="0"/>
          <w:color w:val="000009"/>
        </w:rPr>
        <w:t>52,635</w:t>
      </w:r>
    </w:p>
    <w:p>
      <w:pPr>
        <w:pStyle w:val="BodyText"/>
        <w:spacing w:before="4"/>
        <w:ind w:left="0"/>
        <w:rPr>
          <w:b w:val="0"/>
          <w:sz w:val="29"/>
        </w:rPr>
      </w:pPr>
    </w:p>
    <w:p>
      <w:pPr>
        <w:pStyle w:val="BodyText"/>
        <w:spacing w:before="1"/>
        <w:rPr>
          <w:b w:val="0"/>
        </w:rPr>
      </w:pPr>
      <w:r>
        <w:rPr>
          <w:b w:val="0"/>
          <w:color w:val="000009"/>
        </w:rPr>
        <w:t>p.a.</w:t>
      </w:r>
      <w:r>
        <w:rPr>
          <w:b w:val="0"/>
          <w:color w:val="000009"/>
          <w:spacing w:val="25"/>
        </w:rPr>
        <w:t> </w:t>
      </w:r>
      <w:r>
        <w:rPr>
          <w:b w:val="0"/>
          <w:color w:val="000009"/>
        </w:rPr>
        <w:t>The</w:t>
      </w:r>
      <w:r>
        <w:rPr>
          <w:b w:val="0"/>
          <w:color w:val="000009"/>
          <w:spacing w:val="24"/>
        </w:rPr>
        <w:t> </w:t>
      </w:r>
      <w:r>
        <w:rPr>
          <w:b w:val="0"/>
          <w:color w:val="000009"/>
        </w:rPr>
        <w:t>ITR</w:t>
      </w:r>
      <w:r>
        <w:rPr>
          <w:b w:val="0"/>
          <w:color w:val="000009"/>
          <w:spacing w:val="26"/>
        </w:rPr>
        <w:t> </w:t>
      </w:r>
      <w:r>
        <w:rPr>
          <w:b w:val="0"/>
          <w:color w:val="000009"/>
        </w:rPr>
        <w:t>for</w:t>
      </w:r>
      <w:r>
        <w:rPr>
          <w:b w:val="0"/>
          <w:color w:val="000009"/>
          <w:spacing w:val="23"/>
        </w:rPr>
        <w:t> </w:t>
      </w:r>
      <w:r>
        <w:rPr>
          <w:b w:val="0"/>
          <w:color w:val="000009"/>
        </w:rPr>
        <w:t>the</w:t>
      </w:r>
      <w:r>
        <w:rPr>
          <w:b w:val="0"/>
          <w:color w:val="000009"/>
          <w:spacing w:val="26"/>
        </w:rPr>
        <w:t> </w:t>
      </w:r>
      <w:r>
        <w:rPr>
          <w:b w:val="0"/>
          <w:color w:val="000009"/>
        </w:rPr>
        <w:t>year</w:t>
      </w:r>
      <w:r>
        <w:rPr>
          <w:b w:val="0"/>
          <w:color w:val="000009"/>
          <w:spacing w:val="24"/>
        </w:rPr>
        <w:t> </w:t>
      </w:r>
      <w:r>
        <w:rPr>
          <w:b w:val="0"/>
          <w:color w:val="000009"/>
        </w:rPr>
        <w:t>2006­07</w:t>
      </w:r>
      <w:r>
        <w:rPr>
          <w:b w:val="0"/>
          <w:color w:val="000009"/>
          <w:spacing w:val="25"/>
        </w:rPr>
        <w:t> </w:t>
      </w:r>
      <w:r>
        <w:rPr>
          <w:b w:val="0"/>
          <w:color w:val="000009"/>
        </w:rPr>
        <w:t>revealed</w:t>
      </w:r>
      <w:r>
        <w:rPr>
          <w:b w:val="0"/>
          <w:color w:val="000009"/>
          <w:spacing w:val="26"/>
        </w:rPr>
        <w:t> </w:t>
      </w:r>
      <w:r>
        <w:rPr>
          <w:b w:val="0"/>
          <w:color w:val="000009"/>
        </w:rPr>
        <w:t>an</w:t>
      </w:r>
      <w:r>
        <w:rPr>
          <w:b w:val="0"/>
          <w:color w:val="000009"/>
          <w:spacing w:val="24"/>
        </w:rPr>
        <w:t> </w:t>
      </w:r>
      <w:r>
        <w:rPr>
          <w:b w:val="0"/>
          <w:color w:val="000009"/>
        </w:rPr>
        <w:t>income</w:t>
      </w:r>
      <w:r>
        <w:rPr>
          <w:b w:val="0"/>
          <w:color w:val="000009"/>
          <w:spacing w:val="24"/>
        </w:rPr>
        <w:t> </w:t>
      </w:r>
      <w:r>
        <w:rPr>
          <w:b w:val="0"/>
          <w:color w:val="000009"/>
        </w:rPr>
        <w:t>of</w:t>
      </w:r>
      <w:r>
        <w:rPr>
          <w:b w:val="0"/>
          <w:color w:val="000009"/>
          <w:spacing w:val="25"/>
        </w:rPr>
        <w:t> </w:t>
      </w:r>
      <w:r>
        <w:rPr>
          <w:b w:val="0"/>
          <w:color w:val="000009"/>
        </w:rPr>
        <w:t>Rs.</w:t>
      </w:r>
    </w:p>
    <w:p>
      <w:pPr>
        <w:pStyle w:val="BodyText"/>
        <w:spacing w:before="4"/>
        <w:ind w:left="0"/>
        <w:rPr>
          <w:b w:val="0"/>
          <w:sz w:val="29"/>
        </w:rPr>
      </w:pPr>
    </w:p>
    <w:p>
      <w:pPr>
        <w:pStyle w:val="BodyText"/>
        <w:spacing w:line="491" w:lineRule="auto" w:before="1"/>
        <w:ind w:right="120"/>
        <w:jc w:val="both"/>
        <w:rPr>
          <w:b w:val="0"/>
        </w:rPr>
      </w:pPr>
      <w:r>
        <w:rPr>
          <w:b w:val="0"/>
          <w:color w:val="000009"/>
        </w:rPr>
        <w:t>98,500 p.a., which was almost double the income of</w:t>
      </w:r>
      <w:r>
        <w:rPr>
          <w:b w:val="0"/>
          <w:color w:val="000009"/>
          <w:spacing w:val="60"/>
        </w:rPr>
        <w:t> </w:t>
      </w:r>
      <w:r>
        <w:rPr>
          <w:b w:val="0"/>
          <w:color w:val="000009"/>
        </w:rPr>
        <w:t>the preceding three years. The High Court held that the ITR for the year 2006­07 could not be taken into consideration.</w:t>
      </w:r>
    </w:p>
    <w:p>
      <w:pPr>
        <w:pStyle w:val="BodyText"/>
        <w:spacing w:line="491" w:lineRule="auto"/>
        <w:ind w:right="116" w:firstLine="566"/>
        <w:jc w:val="both"/>
        <w:rPr>
          <w:b w:val="0"/>
        </w:rPr>
      </w:pPr>
      <w:r>
        <w:rPr>
          <w:b w:val="0"/>
          <w:color w:val="000009"/>
        </w:rPr>
        <w:t>The learned Single Judge further held that the income which may have been generated from the two taxis, could not be taken into consideration for determining the income of the deceased. Accordingly, the High Court took the average of the ITRs for years 2002­03, 2003­04 and 2004­05, for determining the income of the deceased at Rs. 52,635 p.a. The Court deducted 1/3</w:t>
      </w:r>
      <w:r>
        <w:rPr>
          <w:b w:val="0"/>
          <w:color w:val="000009"/>
          <w:position w:val="11"/>
          <w:sz w:val="16"/>
        </w:rPr>
        <w:t>rd </w:t>
      </w:r>
      <w:r>
        <w:rPr>
          <w:b w:val="0"/>
          <w:color w:val="000009"/>
        </w:rPr>
        <w:t>of the income towards personal expenses, and applied the multiplier of 16. The loss of dependency was assessed at Rs. 5,61,440.</w:t>
      </w:r>
    </w:p>
    <w:p>
      <w:pPr>
        <w:pStyle w:val="BodyText"/>
        <w:spacing w:line="491" w:lineRule="auto" w:before="2"/>
        <w:ind w:right="118" w:firstLine="566"/>
        <w:jc w:val="both"/>
        <w:rPr>
          <w:b w:val="0"/>
        </w:rPr>
      </w:pPr>
      <w:r>
        <w:rPr>
          <w:b w:val="0"/>
          <w:color w:val="000009"/>
        </w:rPr>
        <w:t>The consortium payable to the widow was reduced by the High Court from Rs. 20,000 (as awarded by the MACT) to Rs. 10,000; the amount awarded towards loss of love and affection to the minor daughters was reduced from Rs. 10,000 to Rs. 5,000. However, the amount of Rs. 5,000 awarded by the MACT towards funeral expenses</w:t>
      </w:r>
      <w:r>
        <w:rPr>
          <w:b w:val="0"/>
          <w:color w:val="000009"/>
          <w:spacing w:val="58"/>
        </w:rPr>
        <w:t> </w:t>
      </w:r>
      <w:r>
        <w:rPr>
          <w:b w:val="0"/>
          <w:color w:val="000009"/>
        </w:rPr>
        <w:t>was maintained.</w:t>
      </w:r>
    </w:p>
    <w:p>
      <w:pPr>
        <w:spacing w:after="0" w:line="491" w:lineRule="auto"/>
        <w:jc w:val="both"/>
        <w:sectPr>
          <w:pgSz w:w="11900" w:h="16840"/>
          <w:pgMar w:header="0" w:footer="1034" w:top="780" w:bottom="1220" w:left="940" w:right="1320"/>
        </w:sectPr>
      </w:pPr>
    </w:p>
    <w:p>
      <w:pPr>
        <w:pStyle w:val="BodyText"/>
        <w:spacing w:line="491" w:lineRule="auto" w:before="70"/>
        <w:ind w:right="115" w:firstLine="566"/>
        <w:jc w:val="both"/>
        <w:rPr>
          <w:b w:val="0"/>
        </w:rPr>
      </w:pPr>
      <w:r>
        <w:rPr>
          <w:b w:val="0"/>
          <w:color w:val="000009"/>
        </w:rPr>
        <w:t>The total compensation awarded to the Claimants was reduced from Rs. 12,55,000 to Rs. 5,81,440.</w:t>
      </w:r>
    </w:p>
    <w:p>
      <w:pPr>
        <w:pStyle w:val="ListParagraph"/>
        <w:numPr>
          <w:ilvl w:val="0"/>
          <w:numId w:val="1"/>
        </w:numPr>
        <w:tabs>
          <w:tab w:pos="1622" w:val="left" w:leader="none"/>
          <w:tab w:pos="1623" w:val="left" w:leader="none"/>
        </w:tabs>
        <w:spacing w:line="491" w:lineRule="auto" w:before="0" w:after="0"/>
        <w:ind w:left="1070" w:right="120" w:hanging="568"/>
        <w:jc w:val="both"/>
        <w:rPr>
          <w:rFonts w:ascii="Lucida Sans"/>
          <w:b w:val="0"/>
          <w:color w:val="000009"/>
          <w:sz w:val="22"/>
        </w:rPr>
      </w:pPr>
      <w:r>
        <w:rPr/>
        <w:tab/>
      </w:r>
      <w:r>
        <w:rPr>
          <w:b w:val="0"/>
          <w:color w:val="000009"/>
          <w:sz w:val="28"/>
        </w:rPr>
        <w:t>Aggrieved by the impugned judgment dated 22.07.2016 passed by the High Court, the Claimants have filed the present civil</w:t>
      </w:r>
      <w:r>
        <w:rPr>
          <w:b w:val="0"/>
          <w:color w:val="000009"/>
          <w:spacing w:val="-2"/>
          <w:sz w:val="28"/>
        </w:rPr>
        <w:t> </w:t>
      </w:r>
      <w:r>
        <w:rPr>
          <w:b w:val="0"/>
          <w:color w:val="000009"/>
          <w:sz w:val="28"/>
        </w:rPr>
        <w:t>appeal.</w:t>
      </w:r>
    </w:p>
    <w:p>
      <w:pPr>
        <w:pStyle w:val="BodyText"/>
        <w:spacing w:line="491" w:lineRule="auto" w:before="1"/>
        <w:ind w:right="115" w:firstLine="566"/>
        <w:jc w:val="both"/>
        <w:rPr>
          <w:b w:val="0"/>
        </w:rPr>
      </w:pPr>
      <w:r>
        <w:rPr>
          <w:b w:val="0"/>
          <w:color w:val="000009"/>
        </w:rPr>
        <w:t>This Court while issuing notice to the Respondents on 23.10.2018, recorded the submission made on behalf of the Claimants that the deceased was not a Government employee.</w:t>
      </w:r>
    </w:p>
    <w:p>
      <w:pPr>
        <w:pStyle w:val="ListParagraph"/>
        <w:numPr>
          <w:ilvl w:val="0"/>
          <w:numId w:val="1"/>
        </w:numPr>
        <w:tabs>
          <w:tab w:pos="1630" w:val="left" w:leader="none"/>
          <w:tab w:pos="1631" w:val="left" w:leader="none"/>
        </w:tabs>
        <w:spacing w:line="491" w:lineRule="auto" w:before="1" w:after="0"/>
        <w:ind w:left="1070" w:right="117" w:hanging="568"/>
        <w:jc w:val="both"/>
        <w:rPr>
          <w:rFonts w:ascii="Lucida Sans" w:hAnsi="Lucida Sans"/>
          <w:b w:val="0"/>
          <w:color w:val="000009"/>
          <w:sz w:val="22"/>
        </w:rPr>
      </w:pPr>
      <w:r>
        <w:rPr/>
        <w:tab/>
      </w:r>
      <w:r>
        <w:rPr>
          <w:b w:val="0"/>
          <w:color w:val="000009"/>
          <w:sz w:val="28"/>
        </w:rPr>
        <w:t>We have heard the learned counsel for the parties and perused the material on record. We find that the impugned order passed by the High Court bristles with serious factual inaccuracies :– first, the learned Single Judge wrongly assumed that the deceased Harish Singh Arya was a Government employee. This has nowhere been averred by the Claimants in any of their pleadings. The entire basis of the judgment is hence</w:t>
      </w:r>
      <w:r>
        <w:rPr>
          <w:b w:val="0"/>
          <w:color w:val="000009"/>
          <w:spacing w:val="-2"/>
          <w:sz w:val="28"/>
        </w:rPr>
        <w:t> </w:t>
      </w:r>
      <w:r>
        <w:rPr>
          <w:b w:val="0"/>
          <w:color w:val="000009"/>
          <w:sz w:val="28"/>
        </w:rPr>
        <w:t>misconceived.</w:t>
      </w:r>
    </w:p>
    <w:p>
      <w:pPr>
        <w:pStyle w:val="BodyText"/>
        <w:spacing w:line="491" w:lineRule="auto" w:before="1"/>
        <w:ind w:right="122" w:firstLine="566"/>
        <w:jc w:val="both"/>
        <w:rPr>
          <w:b w:val="0"/>
        </w:rPr>
      </w:pPr>
      <w:r>
        <w:rPr>
          <w:b w:val="0"/>
          <w:color w:val="000009"/>
        </w:rPr>
        <w:t>On the basis of the aforesaid erroneous assumption, the High Court has erroneously observed that the deceased was running a parallel business by plying two taxis, and held that the</w:t>
      </w:r>
      <w:r>
        <w:rPr>
          <w:b w:val="0"/>
          <w:color w:val="000009"/>
          <w:spacing w:val="51"/>
        </w:rPr>
        <w:t> </w:t>
      </w:r>
      <w:r>
        <w:rPr>
          <w:b w:val="0"/>
          <w:color w:val="000009"/>
        </w:rPr>
        <w:t>income</w:t>
      </w:r>
      <w:r>
        <w:rPr>
          <w:b w:val="0"/>
          <w:color w:val="000009"/>
          <w:spacing w:val="51"/>
        </w:rPr>
        <w:t> </w:t>
      </w:r>
      <w:r>
        <w:rPr>
          <w:b w:val="0"/>
          <w:color w:val="000009"/>
        </w:rPr>
        <w:t>derived</w:t>
      </w:r>
      <w:r>
        <w:rPr>
          <w:b w:val="0"/>
          <w:color w:val="000009"/>
          <w:spacing w:val="52"/>
        </w:rPr>
        <w:t> </w:t>
      </w:r>
      <w:r>
        <w:rPr>
          <w:b w:val="0"/>
          <w:color w:val="000009"/>
        </w:rPr>
        <w:t>from</w:t>
      </w:r>
      <w:r>
        <w:rPr>
          <w:b w:val="0"/>
          <w:color w:val="000009"/>
          <w:spacing w:val="52"/>
        </w:rPr>
        <w:t> </w:t>
      </w:r>
      <w:r>
        <w:rPr>
          <w:b w:val="0"/>
          <w:color w:val="000009"/>
        </w:rPr>
        <w:t>the</w:t>
      </w:r>
      <w:r>
        <w:rPr>
          <w:b w:val="0"/>
          <w:color w:val="000009"/>
          <w:spacing w:val="52"/>
        </w:rPr>
        <w:t> </w:t>
      </w:r>
      <w:r>
        <w:rPr>
          <w:b w:val="0"/>
          <w:color w:val="000009"/>
        </w:rPr>
        <w:t>same</w:t>
      </w:r>
      <w:r>
        <w:rPr>
          <w:b w:val="0"/>
          <w:color w:val="000009"/>
          <w:spacing w:val="51"/>
        </w:rPr>
        <w:t> </w:t>
      </w:r>
      <w:r>
        <w:rPr>
          <w:b w:val="0"/>
          <w:color w:val="000009"/>
        </w:rPr>
        <w:t>could</w:t>
      </w:r>
      <w:r>
        <w:rPr>
          <w:b w:val="0"/>
          <w:color w:val="000009"/>
          <w:spacing w:val="52"/>
        </w:rPr>
        <w:t> </w:t>
      </w:r>
      <w:r>
        <w:rPr>
          <w:b w:val="0"/>
          <w:color w:val="000009"/>
        </w:rPr>
        <w:t>not</w:t>
      </w:r>
      <w:r>
        <w:rPr>
          <w:b w:val="0"/>
          <w:color w:val="000009"/>
          <w:spacing w:val="50"/>
        </w:rPr>
        <w:t> </w:t>
      </w:r>
      <w:r>
        <w:rPr>
          <w:b w:val="0"/>
          <w:color w:val="000009"/>
        </w:rPr>
        <w:t>be</w:t>
      </w:r>
      <w:r>
        <w:rPr>
          <w:b w:val="0"/>
          <w:color w:val="000009"/>
          <w:spacing w:val="51"/>
        </w:rPr>
        <w:t> </w:t>
      </w:r>
      <w:r>
        <w:rPr>
          <w:b w:val="0"/>
          <w:color w:val="000009"/>
        </w:rPr>
        <w:t>taken</w:t>
      </w:r>
      <w:r>
        <w:rPr>
          <w:b w:val="0"/>
          <w:color w:val="000009"/>
          <w:spacing w:val="51"/>
        </w:rPr>
        <w:t> </w:t>
      </w:r>
      <w:r>
        <w:rPr>
          <w:b w:val="0"/>
          <w:color w:val="000009"/>
        </w:rPr>
        <w:t>into</w:t>
      </w:r>
    </w:p>
    <w:p>
      <w:pPr>
        <w:pStyle w:val="BodyText"/>
        <w:spacing w:before="1"/>
        <w:rPr>
          <w:b w:val="0"/>
        </w:rPr>
      </w:pPr>
      <w:r>
        <w:rPr>
          <w:b w:val="0"/>
          <w:color w:val="000009"/>
        </w:rPr>
        <w:t>consideration for assessing the compensation. These</w:t>
      </w:r>
      <w:r>
        <w:rPr>
          <w:b w:val="0"/>
          <w:color w:val="000009"/>
          <w:spacing w:val="32"/>
        </w:rPr>
        <w:t> </w:t>
      </w:r>
      <w:r>
        <w:rPr>
          <w:b w:val="0"/>
          <w:color w:val="000009"/>
        </w:rPr>
        <w:t>findings</w:t>
      </w:r>
    </w:p>
    <w:p>
      <w:pPr>
        <w:spacing w:after="0"/>
        <w:sectPr>
          <w:pgSz w:w="11900" w:h="16840"/>
          <w:pgMar w:header="0" w:footer="1034" w:top="780" w:bottom="1220" w:left="940" w:right="1320"/>
        </w:sectPr>
      </w:pPr>
    </w:p>
    <w:p>
      <w:pPr>
        <w:pStyle w:val="BodyText"/>
        <w:spacing w:line="491" w:lineRule="auto" w:before="70"/>
        <w:ind w:right="123"/>
        <w:jc w:val="both"/>
        <w:rPr>
          <w:b w:val="0"/>
        </w:rPr>
      </w:pPr>
      <w:r>
        <w:rPr>
          <w:b w:val="0"/>
          <w:color w:val="000009"/>
        </w:rPr>
        <w:t>being based on a completely erroneous assumption, are</w:t>
      </w:r>
      <w:r>
        <w:rPr>
          <w:b w:val="0"/>
          <w:color w:val="000009"/>
          <w:spacing w:val="-25"/>
        </w:rPr>
        <w:t> </w:t>
      </w:r>
      <w:r>
        <w:rPr>
          <w:b w:val="0"/>
          <w:color w:val="000009"/>
        </w:rPr>
        <w:t>liable to be set</w:t>
      </w:r>
      <w:r>
        <w:rPr>
          <w:b w:val="0"/>
          <w:color w:val="000009"/>
          <w:spacing w:val="-3"/>
        </w:rPr>
        <w:t> </w:t>
      </w:r>
      <w:r>
        <w:rPr>
          <w:b w:val="0"/>
          <w:color w:val="000009"/>
        </w:rPr>
        <w:t>aside.</w:t>
      </w:r>
    </w:p>
    <w:p>
      <w:pPr>
        <w:pStyle w:val="BodyText"/>
        <w:spacing w:line="491" w:lineRule="auto"/>
        <w:ind w:right="117" w:firstLine="566"/>
        <w:jc w:val="both"/>
        <w:rPr>
          <w:b w:val="0"/>
        </w:rPr>
      </w:pPr>
      <w:r>
        <w:rPr>
          <w:b w:val="0"/>
          <w:color w:val="000009"/>
        </w:rPr>
        <w:t>Second, the High Court determined the income of the deceased by taking the average of the ITRs filed for the years 2002­03 at Rs. 54,000 p.a., 2003­04 at Rs. 52,405 p.a., and</w:t>
      </w:r>
    </w:p>
    <w:p>
      <w:pPr>
        <w:pStyle w:val="BodyText"/>
        <w:spacing w:line="491" w:lineRule="auto" w:before="1"/>
        <w:ind w:right="122"/>
        <w:jc w:val="both"/>
        <w:rPr>
          <w:b w:val="0"/>
        </w:rPr>
      </w:pPr>
      <w:r>
        <w:rPr>
          <w:b w:val="0"/>
          <w:color w:val="000009"/>
        </w:rPr>
        <w:t>2004­05 at Rs. 51,500 p.a. The learned Single Judge disregarded the ITR for the year 2006­07, wherein the</w:t>
      </w:r>
      <w:r>
        <w:rPr>
          <w:b w:val="0"/>
          <w:color w:val="000009"/>
          <w:spacing w:val="-25"/>
        </w:rPr>
        <w:t> </w:t>
      </w:r>
      <w:r>
        <w:rPr>
          <w:b w:val="0"/>
          <w:color w:val="000009"/>
        </w:rPr>
        <w:t>income of the deceased was shown as Rs. 98,500 p.a. on the ground that it was allegedly filed almost one year after the death of the deceased. This finding also is factually</w:t>
      </w:r>
      <w:r>
        <w:rPr>
          <w:b w:val="0"/>
          <w:color w:val="000009"/>
          <w:spacing w:val="-9"/>
        </w:rPr>
        <w:t> </w:t>
      </w:r>
      <w:r>
        <w:rPr>
          <w:b w:val="0"/>
          <w:color w:val="000009"/>
        </w:rPr>
        <w:t>incorrect.</w:t>
      </w:r>
    </w:p>
    <w:p>
      <w:pPr>
        <w:pStyle w:val="BodyText"/>
        <w:spacing w:line="491" w:lineRule="auto" w:before="1"/>
        <w:ind w:right="122" w:firstLine="566"/>
        <w:jc w:val="both"/>
        <w:rPr>
          <w:b w:val="0"/>
        </w:rPr>
      </w:pPr>
      <w:r>
        <w:rPr>
          <w:b w:val="0"/>
          <w:color w:val="000009"/>
        </w:rPr>
        <w:t>A photocopy of the original ITR for the year 2006­07 was filed before this Court, bearing the rubber stamp of the Income Tax Department. It shows that the date of filing the ITR was 20.04.2007, which is prior to the death of the deceased which occurred on 18.06.2007. Hence, the High Court was not justified in disregarding the ITR for the year 2006­07 while assessing the income of the deceased.</w:t>
      </w:r>
    </w:p>
    <w:p>
      <w:pPr>
        <w:pStyle w:val="BodyText"/>
        <w:spacing w:line="491" w:lineRule="auto" w:before="1"/>
        <w:ind w:right="119" w:firstLine="566"/>
        <w:jc w:val="both"/>
        <w:rPr>
          <w:b w:val="0"/>
        </w:rPr>
      </w:pPr>
      <w:r>
        <w:rPr>
          <w:b w:val="0"/>
          <w:color w:val="000009"/>
        </w:rPr>
        <w:t>The Appellants have also placed on record a copy of the ITR for the year 2005­06, which bears the rubber stamp of the Income Tax Department, and reveals the income of the deceased at Rs. 98,100 p.a. during the previous assessment</w:t>
      </w:r>
    </w:p>
    <w:p>
      <w:pPr>
        <w:pStyle w:val="BodyText"/>
        <w:spacing w:before="1"/>
        <w:rPr>
          <w:b w:val="0"/>
        </w:rPr>
      </w:pPr>
      <w:r>
        <w:rPr>
          <w:b w:val="0"/>
          <w:color w:val="000009"/>
        </w:rPr>
        <w:t>year.</w:t>
      </w:r>
    </w:p>
    <w:p>
      <w:pPr>
        <w:spacing w:after="0"/>
        <w:sectPr>
          <w:pgSz w:w="11900" w:h="16840"/>
          <w:pgMar w:header="0" w:footer="1034" w:top="780" w:bottom="1220" w:left="940" w:right="1320"/>
        </w:sectPr>
      </w:pPr>
    </w:p>
    <w:p>
      <w:pPr>
        <w:pStyle w:val="BodyText"/>
        <w:spacing w:line="491" w:lineRule="auto" w:before="70"/>
        <w:ind w:right="121" w:firstLine="566"/>
        <w:jc w:val="both"/>
        <w:rPr>
          <w:b w:val="0"/>
        </w:rPr>
      </w:pPr>
      <w:r>
        <w:rPr>
          <w:b w:val="0"/>
          <w:color w:val="000009"/>
        </w:rPr>
        <w:t>As a consequence, the impugned judgment dated 22.07.2016 passed by the High Court is hereby set aside.</w:t>
      </w:r>
    </w:p>
    <w:p>
      <w:pPr>
        <w:pStyle w:val="ListParagraph"/>
        <w:numPr>
          <w:ilvl w:val="0"/>
          <w:numId w:val="1"/>
        </w:numPr>
        <w:tabs>
          <w:tab w:pos="1703" w:val="left" w:leader="none"/>
        </w:tabs>
        <w:spacing w:line="491" w:lineRule="auto" w:before="0" w:after="0"/>
        <w:ind w:left="1070" w:right="119" w:hanging="568"/>
        <w:jc w:val="both"/>
        <w:rPr>
          <w:b w:val="0"/>
          <w:color w:val="000009"/>
          <w:sz w:val="28"/>
        </w:rPr>
      </w:pPr>
      <w:r>
        <w:rPr/>
        <w:tab/>
      </w:r>
      <w:r>
        <w:rPr>
          <w:b w:val="0"/>
          <w:color w:val="000009"/>
          <w:sz w:val="28"/>
        </w:rPr>
        <w:t>On a perusal of the documentary evidence on record i.e. the ITRs for the assessment years 2005­06 and 2006­07, filed prior to the death of the deceased, which reflect the income of approximately Rs. 1,00,000 p.a. (as assessed by the MACT in its Award dated 22.12.2009), we make this the basis for computing the compensation payable to the Claimants.</w:t>
      </w:r>
    </w:p>
    <w:p>
      <w:pPr>
        <w:spacing w:line="499" w:lineRule="auto" w:before="2"/>
        <w:ind w:left="1070" w:right="113" w:firstLine="566"/>
        <w:jc w:val="both"/>
        <w:rPr>
          <w:b w:val="0"/>
          <w:sz w:val="28"/>
        </w:rPr>
      </w:pPr>
      <w:r>
        <w:rPr>
          <w:b w:val="0"/>
          <w:color w:val="000009"/>
          <w:sz w:val="28"/>
        </w:rPr>
        <w:t>We find that the Courts below have not awarded any amount towards future prospects, as mandated by the judgment of the Constitution Bench in </w:t>
      </w:r>
      <w:r>
        <w:rPr>
          <w:b w:val="0"/>
          <w:i/>
          <w:color w:val="000009"/>
          <w:sz w:val="28"/>
        </w:rPr>
        <w:t>National Insurance </w:t>
      </w:r>
      <w:r>
        <w:rPr>
          <w:b w:val="0"/>
          <w:i/>
          <w:color w:val="000009"/>
          <w:sz w:val="28"/>
        </w:rPr>
        <w:t>Company Limited </w:t>
      </w:r>
      <w:r>
        <w:rPr>
          <w:b w:val="0"/>
          <w:color w:val="000009"/>
          <w:sz w:val="28"/>
        </w:rPr>
        <w:t>v. </w:t>
      </w:r>
      <w:r>
        <w:rPr>
          <w:b w:val="0"/>
          <w:i/>
          <w:color w:val="000009"/>
          <w:sz w:val="28"/>
        </w:rPr>
        <w:t>Pranay Sethi &amp; Ors.</w:t>
      </w:r>
      <w:hyperlink w:history="true" w:anchor="_bookmark0">
        <w:r>
          <w:rPr>
            <w:b w:val="0"/>
            <w:i/>
            <w:color w:val="000009"/>
            <w:position w:val="11"/>
            <w:sz w:val="16"/>
          </w:rPr>
          <w:t>1</w:t>
        </w:r>
      </w:hyperlink>
      <w:r>
        <w:rPr>
          <w:b w:val="0"/>
          <w:i/>
          <w:color w:val="000009"/>
          <w:position w:val="11"/>
          <w:sz w:val="16"/>
        </w:rPr>
        <w:t> </w:t>
      </w:r>
      <w:r>
        <w:rPr>
          <w:b w:val="0"/>
          <w:color w:val="000009"/>
          <w:sz w:val="28"/>
        </w:rPr>
        <w:t>Accordingly, we award future prospects @40% of the income of the deceased.</w:t>
      </w:r>
    </w:p>
    <w:p>
      <w:pPr>
        <w:spacing w:line="501" w:lineRule="auto" w:before="0"/>
        <w:ind w:left="1070" w:right="118" w:firstLine="566"/>
        <w:jc w:val="both"/>
        <w:rPr>
          <w:b w:val="0"/>
          <w:i/>
          <w:sz w:val="16"/>
        </w:rPr>
      </w:pPr>
      <w:r>
        <w:rPr>
          <w:b w:val="0"/>
          <w:color w:val="000009"/>
          <w:sz w:val="28"/>
        </w:rPr>
        <w:t>Given the fact that the deceased left behind five dependents, the deduction towards his personal expenses would be 1/4</w:t>
      </w:r>
      <w:r>
        <w:rPr>
          <w:b w:val="0"/>
          <w:color w:val="000009"/>
          <w:position w:val="11"/>
          <w:sz w:val="16"/>
        </w:rPr>
        <w:t>th </w:t>
      </w:r>
      <w:r>
        <w:rPr>
          <w:b w:val="0"/>
          <w:color w:val="000009"/>
          <w:sz w:val="28"/>
        </w:rPr>
        <w:t>as per the judgment of this Court in </w:t>
      </w:r>
      <w:r>
        <w:rPr>
          <w:b w:val="0"/>
          <w:i/>
          <w:color w:val="000009"/>
          <w:sz w:val="28"/>
        </w:rPr>
        <w:t>Sarla </w:t>
      </w:r>
      <w:r>
        <w:rPr>
          <w:b w:val="0"/>
          <w:i/>
          <w:color w:val="000009"/>
          <w:sz w:val="28"/>
        </w:rPr>
        <w:t>Verma &amp; Ors. </w:t>
      </w:r>
      <w:r>
        <w:rPr>
          <w:b w:val="0"/>
          <w:color w:val="000009"/>
          <w:sz w:val="28"/>
        </w:rPr>
        <w:t>v. </w:t>
      </w:r>
      <w:r>
        <w:rPr>
          <w:b w:val="0"/>
          <w:i/>
          <w:color w:val="000009"/>
          <w:sz w:val="28"/>
        </w:rPr>
        <w:t>Delhi Transport Corporation &amp; Anr.</w:t>
      </w:r>
      <w:hyperlink w:history="true" w:anchor="_bookmark1">
        <w:r>
          <w:rPr>
            <w:b w:val="0"/>
            <w:i/>
            <w:color w:val="000009"/>
            <w:position w:val="11"/>
            <w:sz w:val="16"/>
          </w:rPr>
          <w:t>2</w:t>
        </w:r>
      </w:hyperlink>
    </w:p>
    <w:p>
      <w:pPr>
        <w:pStyle w:val="BodyText"/>
        <w:spacing w:line="491" w:lineRule="auto"/>
        <w:ind w:right="122" w:firstLine="566"/>
        <w:jc w:val="both"/>
        <w:rPr>
          <w:b w:val="0"/>
        </w:rPr>
      </w:pPr>
      <w:r>
        <w:rPr>
          <w:b w:val="0"/>
          <w:color w:val="000009"/>
        </w:rPr>
        <w:t>The multiplier adopted by the MACT and the High Court at 16 is appropriate.</w:t>
      </w:r>
    </w:p>
    <w:p>
      <w:pPr>
        <w:pStyle w:val="BodyText"/>
        <w:ind w:left="0"/>
        <w:rPr>
          <w:b w:val="0"/>
          <w:sz w:val="20"/>
        </w:rPr>
      </w:pPr>
    </w:p>
    <w:p>
      <w:pPr>
        <w:pStyle w:val="BodyText"/>
        <w:spacing w:before="3"/>
        <w:ind w:left="0"/>
        <w:rPr>
          <w:b w:val="0"/>
          <w:sz w:val="14"/>
        </w:rPr>
      </w:pPr>
      <w:r>
        <w:rPr/>
        <w:pict>
          <v:line style="position:absolute;mso-position-horizontal-relative:page;mso-position-vertical-relative:paragraph;z-index:-251657216;mso-wrap-distance-left:0;mso-wrap-distance-right:0" from="72pt,10.585274pt" to="184.8pt,10.585274pt" stroked="true" strokeweight=".5pt" strokecolor="#000000">
            <v:stroke dashstyle="solid"/>
            <w10:wrap type="topAndBottom"/>
          </v:line>
        </w:pict>
      </w:r>
    </w:p>
    <w:p>
      <w:pPr>
        <w:spacing w:before="21"/>
        <w:ind w:left="501" w:right="0" w:firstLine="0"/>
        <w:jc w:val="left"/>
        <w:rPr>
          <w:b w:val="0"/>
          <w:sz w:val="20"/>
        </w:rPr>
      </w:pPr>
      <w:bookmarkStart w:name="_bookmark0" w:id="1"/>
      <w:bookmarkEnd w:id="1"/>
      <w:r>
        <w:rPr/>
      </w:r>
      <w:r>
        <w:rPr>
          <w:rFonts w:ascii="Lucida Sans"/>
          <w:color w:val="000009"/>
          <w:sz w:val="20"/>
        </w:rPr>
        <w:t>1</w:t>
      </w:r>
      <w:bookmarkStart w:name="_bookmark1" w:id="2"/>
      <w:bookmarkEnd w:id="2"/>
      <w:r>
        <w:rPr>
          <w:rFonts w:ascii="Lucida Sans"/>
          <w:color w:val="000009"/>
          <w:sz w:val="20"/>
        </w:rPr>
      </w:r>
      <w:r>
        <w:rPr>
          <w:rFonts w:ascii="Lucida Sans"/>
          <w:color w:val="000009"/>
          <w:sz w:val="20"/>
        </w:rPr>
        <w:t> </w:t>
      </w:r>
      <w:r>
        <w:rPr>
          <w:b w:val="0"/>
          <w:color w:val="000009"/>
          <w:sz w:val="20"/>
        </w:rPr>
        <w:t>(2017) 16 SCC 680.</w:t>
      </w:r>
    </w:p>
    <w:p>
      <w:pPr>
        <w:spacing w:before="1"/>
        <w:ind w:left="501" w:right="0" w:firstLine="0"/>
        <w:jc w:val="left"/>
        <w:rPr>
          <w:b w:val="0"/>
          <w:sz w:val="20"/>
        </w:rPr>
      </w:pPr>
      <w:r>
        <w:rPr>
          <w:rFonts w:ascii="Lucida Sans"/>
          <w:color w:val="000009"/>
          <w:sz w:val="20"/>
        </w:rPr>
        <w:t>2 </w:t>
      </w:r>
      <w:r>
        <w:rPr>
          <w:b w:val="0"/>
          <w:color w:val="000009"/>
          <w:sz w:val="20"/>
        </w:rPr>
        <w:t>(2009) 6 SCC 121.</w:t>
      </w:r>
    </w:p>
    <w:p>
      <w:pPr>
        <w:spacing w:after="0"/>
        <w:jc w:val="left"/>
        <w:rPr>
          <w:sz w:val="20"/>
        </w:rPr>
        <w:sectPr>
          <w:pgSz w:w="11900" w:h="16840"/>
          <w:pgMar w:header="0" w:footer="1034" w:top="780" w:bottom="1220" w:left="940" w:right="1320"/>
        </w:sectPr>
      </w:pPr>
    </w:p>
    <w:p>
      <w:pPr>
        <w:pStyle w:val="BodyText"/>
        <w:spacing w:line="499" w:lineRule="auto" w:before="70"/>
        <w:ind w:right="120" w:firstLine="566"/>
        <w:jc w:val="both"/>
        <w:rPr>
          <w:b w:val="0"/>
          <w:i/>
        </w:rPr>
      </w:pPr>
      <w:r>
        <w:rPr>
          <w:b w:val="0"/>
          <w:color w:val="000009"/>
        </w:rPr>
        <w:t>With respect to payment of compensation under the conventional heads, we direct that same be awarded in consonance with the judgment in </w:t>
      </w:r>
      <w:r>
        <w:rPr>
          <w:b w:val="0"/>
          <w:i/>
          <w:color w:val="000009"/>
        </w:rPr>
        <w:t>Pranay Sethi (supra).</w:t>
      </w:r>
    </w:p>
    <w:p>
      <w:pPr>
        <w:pStyle w:val="BodyText"/>
        <w:spacing w:line="491" w:lineRule="auto" w:before="3" w:after="2"/>
        <w:ind w:right="118" w:firstLine="566"/>
        <w:jc w:val="both"/>
        <w:rPr>
          <w:b w:val="0"/>
        </w:rPr>
      </w:pPr>
      <w:r>
        <w:rPr>
          <w:b w:val="0"/>
          <w:color w:val="000009"/>
        </w:rPr>
        <w:t>Accordingly, the compensation payable to the Claimants/Appellants herein is determined as :</w:t>
      </w:r>
    </w:p>
    <w:tbl>
      <w:tblPr>
        <w:tblW w:w="0" w:type="auto"/>
        <w:jc w:val="left"/>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2"/>
        <w:gridCol w:w="2822"/>
      </w:tblGrid>
      <w:tr>
        <w:trPr>
          <w:trHeight w:val="674" w:hRule="atLeast"/>
        </w:trPr>
        <w:tc>
          <w:tcPr>
            <w:tcW w:w="5042" w:type="dxa"/>
          </w:tcPr>
          <w:p>
            <w:pPr>
              <w:pStyle w:val="TableParagraph"/>
              <w:numPr>
                <w:ilvl w:val="0"/>
                <w:numId w:val="2"/>
              </w:numPr>
              <w:tabs>
                <w:tab w:pos="769" w:val="left" w:leader="none"/>
                <w:tab w:pos="770" w:val="left" w:leader="none"/>
              </w:tabs>
              <w:spacing w:line="326" w:lineRule="exact" w:before="0" w:after="0"/>
              <w:ind w:left="770" w:right="0" w:hanging="720"/>
              <w:jc w:val="left"/>
              <w:rPr>
                <w:b w:val="0"/>
                <w:sz w:val="28"/>
              </w:rPr>
            </w:pPr>
            <w:r>
              <w:rPr>
                <w:b w:val="0"/>
                <w:color w:val="000009"/>
                <w:sz w:val="28"/>
              </w:rPr>
              <w:t>Income</w:t>
            </w:r>
            <w:r>
              <w:rPr>
                <w:b w:val="0"/>
                <w:color w:val="000009"/>
                <w:spacing w:val="-1"/>
                <w:sz w:val="28"/>
              </w:rPr>
              <w:t> </w:t>
            </w:r>
            <w:r>
              <w:rPr>
                <w:b w:val="0"/>
                <w:color w:val="000009"/>
                <w:sz w:val="28"/>
              </w:rPr>
              <w:t>:</w:t>
            </w:r>
          </w:p>
          <w:p>
            <w:pPr>
              <w:pStyle w:val="TableParagraph"/>
              <w:numPr>
                <w:ilvl w:val="0"/>
                <w:numId w:val="2"/>
              </w:numPr>
              <w:tabs>
                <w:tab w:pos="769" w:val="left" w:leader="none"/>
                <w:tab w:pos="770" w:val="left" w:leader="none"/>
              </w:tabs>
              <w:spacing w:line="319" w:lineRule="exact" w:before="9" w:after="0"/>
              <w:ind w:left="770" w:right="0" w:hanging="720"/>
              <w:jc w:val="left"/>
              <w:rPr>
                <w:b w:val="0"/>
                <w:sz w:val="28"/>
              </w:rPr>
            </w:pPr>
            <w:r>
              <w:rPr>
                <w:b w:val="0"/>
                <w:color w:val="000009"/>
                <w:sz w:val="28"/>
              </w:rPr>
              <w:t>Future Prospects</w:t>
            </w:r>
            <w:r>
              <w:rPr>
                <w:b w:val="0"/>
                <w:color w:val="000009"/>
                <w:spacing w:val="-1"/>
                <w:sz w:val="28"/>
              </w:rPr>
              <w:t> </w:t>
            </w:r>
            <w:r>
              <w:rPr>
                <w:b w:val="0"/>
                <w:color w:val="000009"/>
                <w:sz w:val="28"/>
              </w:rPr>
              <w:t>:</w:t>
            </w:r>
          </w:p>
        </w:tc>
        <w:tc>
          <w:tcPr>
            <w:tcW w:w="2822" w:type="dxa"/>
          </w:tcPr>
          <w:p>
            <w:pPr>
              <w:pStyle w:val="TableParagraph"/>
              <w:spacing w:line="326" w:lineRule="exact"/>
              <w:rPr>
                <w:b w:val="0"/>
                <w:sz w:val="28"/>
              </w:rPr>
            </w:pPr>
            <w:r>
              <w:rPr>
                <w:b w:val="0"/>
                <w:color w:val="000009"/>
                <w:sz w:val="28"/>
              </w:rPr>
              <w:t>Rs. 1,00,000 p.a.</w:t>
            </w:r>
          </w:p>
          <w:p>
            <w:pPr>
              <w:pStyle w:val="TableParagraph"/>
              <w:spacing w:line="319" w:lineRule="exact" w:before="9"/>
              <w:rPr>
                <w:b w:val="0"/>
                <w:sz w:val="28"/>
              </w:rPr>
            </w:pPr>
            <w:r>
              <w:rPr>
                <w:b w:val="0"/>
                <w:color w:val="000009"/>
                <w:sz w:val="28"/>
              </w:rPr>
              <w:t>40%</w:t>
            </w:r>
          </w:p>
        </w:tc>
      </w:tr>
      <w:tr>
        <w:trPr>
          <w:trHeight w:val="361" w:hRule="atLeast"/>
        </w:trPr>
        <w:tc>
          <w:tcPr>
            <w:tcW w:w="5042" w:type="dxa"/>
          </w:tcPr>
          <w:p>
            <w:pPr>
              <w:pStyle w:val="TableParagraph"/>
              <w:tabs>
                <w:tab w:pos="769" w:val="left" w:leader="none"/>
              </w:tabs>
              <w:spacing w:line="326" w:lineRule="exact"/>
              <w:ind w:left="50"/>
              <w:rPr>
                <w:b w:val="0"/>
                <w:sz w:val="28"/>
              </w:rPr>
            </w:pPr>
            <w:r>
              <w:rPr>
                <w:b w:val="0"/>
                <w:color w:val="000009"/>
                <w:sz w:val="28"/>
              </w:rPr>
              <w:t>iii)</w:t>
              <w:tab/>
              <w:t>Deduction towards</w:t>
            </w:r>
            <w:r>
              <w:rPr>
                <w:b w:val="0"/>
                <w:color w:val="000009"/>
                <w:spacing w:val="-5"/>
                <w:sz w:val="28"/>
              </w:rPr>
              <w:t> </w:t>
            </w:r>
            <w:r>
              <w:rPr>
                <w:b w:val="0"/>
                <w:color w:val="000009"/>
                <w:sz w:val="28"/>
              </w:rPr>
              <w:t>personal</w:t>
            </w:r>
          </w:p>
        </w:tc>
        <w:tc>
          <w:tcPr>
            <w:tcW w:w="2822" w:type="dxa"/>
          </w:tcPr>
          <w:p>
            <w:pPr>
              <w:pStyle w:val="TableParagraph"/>
              <w:spacing w:line="326" w:lineRule="exact"/>
              <w:rPr>
                <w:b w:val="0"/>
                <w:sz w:val="28"/>
              </w:rPr>
            </w:pPr>
            <w:r>
              <w:rPr>
                <w:b w:val="0"/>
                <w:color w:val="000009"/>
                <w:sz w:val="28"/>
              </w:rPr>
              <w:t>1/4</w:t>
            </w:r>
          </w:p>
        </w:tc>
      </w:tr>
      <w:tr>
        <w:trPr>
          <w:trHeight w:val="699" w:hRule="atLeast"/>
        </w:trPr>
        <w:tc>
          <w:tcPr>
            <w:tcW w:w="5042" w:type="dxa"/>
          </w:tcPr>
          <w:p>
            <w:pPr>
              <w:pStyle w:val="TableParagraph"/>
              <w:spacing w:line="240" w:lineRule="auto" w:before="23"/>
              <w:ind w:left="770"/>
              <w:rPr>
                <w:b w:val="0"/>
                <w:sz w:val="28"/>
              </w:rPr>
            </w:pPr>
            <w:r>
              <w:rPr>
                <w:b w:val="0"/>
                <w:color w:val="000009"/>
                <w:sz w:val="28"/>
              </w:rPr>
              <w:t>expenses :</w:t>
            </w:r>
          </w:p>
          <w:p>
            <w:pPr>
              <w:pStyle w:val="TableParagraph"/>
              <w:tabs>
                <w:tab w:pos="769" w:val="left" w:leader="none"/>
              </w:tabs>
              <w:spacing w:line="320" w:lineRule="exact" w:before="7"/>
              <w:ind w:left="50"/>
              <w:rPr>
                <w:b w:val="0"/>
                <w:sz w:val="28"/>
              </w:rPr>
            </w:pPr>
            <w:r>
              <w:rPr>
                <w:b w:val="0"/>
                <w:color w:val="000009"/>
                <w:sz w:val="28"/>
              </w:rPr>
              <w:t>iv)</w:t>
              <w:tab/>
              <w:t>Total income</w:t>
            </w:r>
            <w:r>
              <w:rPr>
                <w:b w:val="0"/>
                <w:color w:val="000009"/>
                <w:spacing w:val="-1"/>
                <w:sz w:val="28"/>
              </w:rPr>
              <w:t> </w:t>
            </w:r>
            <w:r>
              <w:rPr>
                <w:b w:val="0"/>
                <w:color w:val="000009"/>
                <w:sz w:val="28"/>
              </w:rPr>
              <w:t>:</w:t>
            </w:r>
          </w:p>
        </w:tc>
        <w:tc>
          <w:tcPr>
            <w:tcW w:w="2822" w:type="dxa"/>
          </w:tcPr>
          <w:p>
            <w:pPr>
              <w:pStyle w:val="TableParagraph"/>
              <w:spacing w:line="240" w:lineRule="auto" w:before="7"/>
              <w:ind w:left="0"/>
              <w:rPr>
                <w:b w:val="0"/>
                <w:sz w:val="30"/>
              </w:rPr>
            </w:pPr>
          </w:p>
          <w:p>
            <w:pPr>
              <w:pStyle w:val="TableParagraph"/>
              <w:spacing w:line="320" w:lineRule="exact"/>
              <w:rPr>
                <w:b w:val="0"/>
                <w:sz w:val="28"/>
              </w:rPr>
            </w:pPr>
            <w:r>
              <w:rPr>
                <w:b w:val="0"/>
                <w:color w:val="000009"/>
                <w:sz w:val="28"/>
              </w:rPr>
              <w:t>Rs. 1,05,000 p.a.</w:t>
            </w:r>
          </w:p>
        </w:tc>
      </w:tr>
      <w:tr>
        <w:trPr>
          <w:trHeight w:val="336" w:hRule="atLeast"/>
        </w:trPr>
        <w:tc>
          <w:tcPr>
            <w:tcW w:w="5042" w:type="dxa"/>
          </w:tcPr>
          <w:p>
            <w:pPr>
              <w:pStyle w:val="TableParagraph"/>
              <w:tabs>
                <w:tab w:pos="769" w:val="left" w:leader="none"/>
              </w:tabs>
              <w:ind w:left="50"/>
              <w:rPr>
                <w:b w:val="0"/>
                <w:sz w:val="28"/>
              </w:rPr>
            </w:pPr>
            <w:r>
              <w:rPr>
                <w:b w:val="0"/>
                <w:color w:val="000009"/>
                <w:sz w:val="28"/>
              </w:rPr>
              <w:t>v)</w:t>
              <w:tab/>
              <w:t>Multiplier</w:t>
            </w:r>
            <w:r>
              <w:rPr>
                <w:b w:val="0"/>
                <w:color w:val="000009"/>
                <w:spacing w:val="-1"/>
                <w:sz w:val="28"/>
              </w:rPr>
              <w:t> </w:t>
            </w:r>
            <w:r>
              <w:rPr>
                <w:b w:val="0"/>
                <w:color w:val="000009"/>
                <w:sz w:val="28"/>
              </w:rPr>
              <w:t>:</w:t>
            </w:r>
          </w:p>
        </w:tc>
        <w:tc>
          <w:tcPr>
            <w:tcW w:w="2822" w:type="dxa"/>
          </w:tcPr>
          <w:p>
            <w:pPr>
              <w:pStyle w:val="TableParagraph"/>
              <w:rPr>
                <w:b w:val="0"/>
                <w:sz w:val="28"/>
              </w:rPr>
            </w:pPr>
            <w:r>
              <w:rPr>
                <w:b w:val="0"/>
                <w:color w:val="000009"/>
                <w:sz w:val="28"/>
              </w:rPr>
              <w:t>16</w:t>
            </w:r>
          </w:p>
        </w:tc>
      </w:tr>
      <w:tr>
        <w:trPr>
          <w:trHeight w:val="337" w:hRule="atLeast"/>
        </w:trPr>
        <w:tc>
          <w:tcPr>
            <w:tcW w:w="5042" w:type="dxa"/>
          </w:tcPr>
          <w:p>
            <w:pPr>
              <w:pStyle w:val="TableParagraph"/>
              <w:tabs>
                <w:tab w:pos="769" w:val="left" w:leader="none"/>
              </w:tabs>
              <w:ind w:left="50"/>
              <w:rPr>
                <w:b w:val="0"/>
                <w:sz w:val="28"/>
              </w:rPr>
            </w:pPr>
            <w:r>
              <w:rPr>
                <w:b w:val="0"/>
                <w:color w:val="000009"/>
                <w:sz w:val="28"/>
              </w:rPr>
              <w:t>vi)</w:t>
              <w:tab/>
              <w:t>Loss of dependency</w:t>
            </w:r>
            <w:r>
              <w:rPr>
                <w:b w:val="0"/>
                <w:color w:val="000009"/>
                <w:spacing w:val="-1"/>
                <w:sz w:val="28"/>
              </w:rPr>
              <w:t> </w:t>
            </w:r>
            <w:r>
              <w:rPr>
                <w:b w:val="0"/>
                <w:color w:val="000009"/>
                <w:sz w:val="28"/>
              </w:rPr>
              <w:t>:</w:t>
            </w:r>
          </w:p>
        </w:tc>
        <w:tc>
          <w:tcPr>
            <w:tcW w:w="2822" w:type="dxa"/>
          </w:tcPr>
          <w:p>
            <w:pPr>
              <w:pStyle w:val="TableParagraph"/>
              <w:rPr>
                <w:b w:val="0"/>
                <w:sz w:val="28"/>
              </w:rPr>
            </w:pPr>
            <w:r>
              <w:rPr>
                <w:b w:val="0"/>
                <w:color w:val="000009"/>
                <w:sz w:val="28"/>
              </w:rPr>
              <w:t>Rs. 16,80,000</w:t>
            </w:r>
          </w:p>
        </w:tc>
      </w:tr>
      <w:tr>
        <w:trPr>
          <w:trHeight w:val="337" w:hRule="atLeast"/>
        </w:trPr>
        <w:tc>
          <w:tcPr>
            <w:tcW w:w="5042" w:type="dxa"/>
          </w:tcPr>
          <w:p>
            <w:pPr>
              <w:pStyle w:val="TableParagraph"/>
              <w:tabs>
                <w:tab w:pos="769" w:val="left" w:leader="none"/>
              </w:tabs>
              <w:ind w:left="50"/>
              <w:rPr>
                <w:b w:val="0"/>
                <w:sz w:val="28"/>
              </w:rPr>
            </w:pPr>
            <w:r>
              <w:rPr>
                <w:b w:val="0"/>
                <w:color w:val="000009"/>
                <w:sz w:val="28"/>
              </w:rPr>
              <w:t>vii)</w:t>
              <w:tab/>
              <w:t>Loss of estate</w:t>
            </w:r>
            <w:r>
              <w:rPr>
                <w:b w:val="0"/>
                <w:color w:val="000009"/>
                <w:spacing w:val="1"/>
                <w:sz w:val="28"/>
              </w:rPr>
              <w:t> </w:t>
            </w:r>
            <w:r>
              <w:rPr>
                <w:b w:val="0"/>
                <w:color w:val="000009"/>
                <w:sz w:val="28"/>
              </w:rPr>
              <w:t>:</w:t>
            </w:r>
          </w:p>
        </w:tc>
        <w:tc>
          <w:tcPr>
            <w:tcW w:w="2822" w:type="dxa"/>
          </w:tcPr>
          <w:p>
            <w:pPr>
              <w:pStyle w:val="TableParagraph"/>
              <w:rPr>
                <w:b w:val="0"/>
                <w:sz w:val="28"/>
              </w:rPr>
            </w:pPr>
            <w:r>
              <w:rPr>
                <w:b w:val="0"/>
                <w:color w:val="000009"/>
                <w:sz w:val="28"/>
              </w:rPr>
              <w:t>Rs. 15,000</w:t>
            </w:r>
          </w:p>
        </w:tc>
      </w:tr>
      <w:tr>
        <w:trPr>
          <w:trHeight w:val="336" w:hRule="atLeast"/>
        </w:trPr>
        <w:tc>
          <w:tcPr>
            <w:tcW w:w="5042" w:type="dxa"/>
          </w:tcPr>
          <w:p>
            <w:pPr>
              <w:pStyle w:val="TableParagraph"/>
              <w:tabs>
                <w:tab w:pos="769" w:val="left" w:leader="none"/>
              </w:tabs>
              <w:ind w:left="50"/>
              <w:rPr>
                <w:b w:val="0"/>
                <w:sz w:val="28"/>
              </w:rPr>
            </w:pPr>
            <w:r>
              <w:rPr>
                <w:b w:val="0"/>
                <w:color w:val="000009"/>
                <w:sz w:val="28"/>
              </w:rPr>
              <w:t>viii)</w:t>
              <w:tab/>
              <w:t>Funeral expenses</w:t>
            </w:r>
            <w:r>
              <w:rPr>
                <w:b w:val="0"/>
                <w:color w:val="000009"/>
                <w:spacing w:val="-1"/>
                <w:sz w:val="28"/>
              </w:rPr>
              <w:t> </w:t>
            </w:r>
            <w:r>
              <w:rPr>
                <w:b w:val="0"/>
                <w:color w:val="000009"/>
                <w:sz w:val="28"/>
              </w:rPr>
              <w:t>:</w:t>
            </w:r>
          </w:p>
        </w:tc>
        <w:tc>
          <w:tcPr>
            <w:tcW w:w="2822" w:type="dxa"/>
          </w:tcPr>
          <w:p>
            <w:pPr>
              <w:pStyle w:val="TableParagraph"/>
              <w:rPr>
                <w:b w:val="0"/>
                <w:sz w:val="28"/>
              </w:rPr>
            </w:pPr>
            <w:r>
              <w:rPr>
                <w:b w:val="0"/>
                <w:color w:val="000009"/>
                <w:sz w:val="28"/>
              </w:rPr>
              <w:t>Rs. 15,000</w:t>
            </w:r>
          </w:p>
        </w:tc>
      </w:tr>
      <w:tr>
        <w:trPr>
          <w:trHeight w:val="336" w:hRule="atLeast"/>
        </w:trPr>
        <w:tc>
          <w:tcPr>
            <w:tcW w:w="5042" w:type="dxa"/>
          </w:tcPr>
          <w:p>
            <w:pPr>
              <w:pStyle w:val="TableParagraph"/>
              <w:tabs>
                <w:tab w:pos="769" w:val="left" w:leader="none"/>
              </w:tabs>
              <w:ind w:left="50"/>
              <w:rPr>
                <w:b w:val="0"/>
                <w:sz w:val="28"/>
              </w:rPr>
            </w:pPr>
            <w:r>
              <w:rPr>
                <w:b w:val="0"/>
                <w:color w:val="000009"/>
                <w:sz w:val="28"/>
              </w:rPr>
              <w:t>ix)</w:t>
              <w:tab/>
              <w:t>Loss of consortium</w:t>
            </w:r>
            <w:r>
              <w:rPr>
                <w:b w:val="0"/>
                <w:color w:val="000009"/>
                <w:spacing w:val="-2"/>
                <w:sz w:val="28"/>
              </w:rPr>
              <w:t> </w:t>
            </w:r>
            <w:r>
              <w:rPr>
                <w:b w:val="0"/>
                <w:color w:val="000009"/>
                <w:sz w:val="28"/>
              </w:rPr>
              <w:t>:</w:t>
            </w:r>
          </w:p>
        </w:tc>
        <w:tc>
          <w:tcPr>
            <w:tcW w:w="2822" w:type="dxa"/>
          </w:tcPr>
          <w:p>
            <w:pPr>
              <w:pStyle w:val="TableParagraph"/>
              <w:rPr>
                <w:b w:val="0"/>
                <w:sz w:val="28"/>
              </w:rPr>
            </w:pPr>
            <w:r>
              <w:rPr>
                <w:b w:val="0"/>
                <w:color w:val="000009"/>
                <w:sz w:val="28"/>
              </w:rPr>
              <w:t>Rs. 40,000</w:t>
            </w:r>
          </w:p>
        </w:tc>
      </w:tr>
      <w:tr>
        <w:trPr>
          <w:trHeight w:val="365" w:hRule="atLeast"/>
        </w:trPr>
        <w:tc>
          <w:tcPr>
            <w:tcW w:w="5042" w:type="dxa"/>
          </w:tcPr>
          <w:p>
            <w:pPr>
              <w:pStyle w:val="TableParagraph"/>
              <w:spacing w:line="240" w:lineRule="auto" w:before="15"/>
              <w:ind w:left="818"/>
              <w:rPr>
                <w:b/>
                <w:sz w:val="28"/>
              </w:rPr>
            </w:pPr>
            <w:r>
              <w:rPr>
                <w:b/>
                <w:color w:val="000009"/>
                <w:sz w:val="28"/>
              </w:rPr>
              <w:t>Total compensation :</w:t>
            </w:r>
          </w:p>
        </w:tc>
        <w:tc>
          <w:tcPr>
            <w:tcW w:w="2822" w:type="dxa"/>
          </w:tcPr>
          <w:p>
            <w:pPr>
              <w:pStyle w:val="TableParagraph"/>
              <w:spacing w:line="240" w:lineRule="auto" w:before="15"/>
              <w:rPr>
                <w:b/>
                <w:sz w:val="28"/>
              </w:rPr>
            </w:pPr>
            <w:r>
              <w:rPr>
                <w:b/>
                <w:color w:val="000009"/>
                <w:sz w:val="28"/>
              </w:rPr>
              <w:t>Rs. 17,50,000</w:t>
            </w:r>
          </w:p>
        </w:tc>
      </w:tr>
    </w:tbl>
    <w:p>
      <w:pPr>
        <w:pStyle w:val="BodyText"/>
        <w:ind w:left="0"/>
        <w:rPr>
          <w:b w:val="0"/>
          <w:sz w:val="31"/>
        </w:rPr>
      </w:pPr>
    </w:p>
    <w:p>
      <w:pPr>
        <w:pStyle w:val="ListParagraph"/>
        <w:numPr>
          <w:ilvl w:val="0"/>
          <w:numId w:val="1"/>
        </w:numPr>
        <w:tabs>
          <w:tab w:pos="1619" w:val="left" w:leader="none"/>
        </w:tabs>
        <w:spacing w:line="491" w:lineRule="auto" w:before="0" w:after="0"/>
        <w:ind w:left="1070" w:right="117" w:hanging="568"/>
        <w:jc w:val="both"/>
        <w:rPr>
          <w:b w:val="0"/>
          <w:color w:val="000009"/>
          <w:sz w:val="28"/>
        </w:rPr>
      </w:pPr>
      <w:r>
        <w:rPr/>
        <w:tab/>
      </w:r>
      <w:r>
        <w:rPr>
          <w:b w:val="0"/>
          <w:color w:val="000009"/>
          <w:sz w:val="28"/>
        </w:rPr>
        <w:t>Even though the Claimants/Appellants herein did not file an Appeal against the Award dated 22.12.2009 passed by the MACT before the High Court, we deem it appropriate to enhance the compensation by exercising our jurisdiction under Article 142 of the Constitution of India in order to do complete justice between the</w:t>
      </w:r>
      <w:r>
        <w:rPr>
          <w:b w:val="0"/>
          <w:color w:val="000009"/>
          <w:spacing w:val="-2"/>
          <w:sz w:val="28"/>
        </w:rPr>
        <w:t> </w:t>
      </w:r>
      <w:r>
        <w:rPr>
          <w:b w:val="0"/>
          <w:color w:val="000009"/>
          <w:sz w:val="28"/>
        </w:rPr>
        <w:t>parties.</w:t>
      </w:r>
    </w:p>
    <w:p>
      <w:pPr>
        <w:pStyle w:val="ListParagraph"/>
        <w:numPr>
          <w:ilvl w:val="0"/>
          <w:numId w:val="1"/>
        </w:numPr>
        <w:tabs>
          <w:tab w:pos="1685" w:val="left" w:leader="none"/>
        </w:tabs>
        <w:spacing w:line="491" w:lineRule="auto" w:before="1" w:after="0"/>
        <w:ind w:left="1070" w:right="120" w:hanging="568"/>
        <w:jc w:val="both"/>
        <w:rPr>
          <w:b w:val="0"/>
          <w:color w:val="000009"/>
          <w:sz w:val="28"/>
        </w:rPr>
      </w:pPr>
      <w:r>
        <w:rPr/>
        <w:tab/>
      </w:r>
      <w:r>
        <w:rPr>
          <w:b w:val="0"/>
          <w:color w:val="000009"/>
          <w:sz w:val="28"/>
        </w:rPr>
        <w:t>The Respondent – Insurance Company is directed to pay the compensation awarded to the Appellants within a period of twelve weeks’ from the date of this judgment, after adjusting</w:t>
      </w:r>
      <w:r>
        <w:rPr>
          <w:b w:val="0"/>
          <w:color w:val="000009"/>
          <w:spacing w:val="36"/>
          <w:sz w:val="28"/>
        </w:rPr>
        <w:t> </w:t>
      </w:r>
      <w:r>
        <w:rPr>
          <w:b w:val="0"/>
          <w:color w:val="000009"/>
          <w:sz w:val="28"/>
        </w:rPr>
        <w:t>any</w:t>
      </w:r>
      <w:r>
        <w:rPr>
          <w:b w:val="0"/>
          <w:color w:val="000009"/>
          <w:spacing w:val="37"/>
          <w:sz w:val="28"/>
        </w:rPr>
        <w:t> </w:t>
      </w:r>
      <w:r>
        <w:rPr>
          <w:b w:val="0"/>
          <w:color w:val="000009"/>
          <w:sz w:val="28"/>
        </w:rPr>
        <w:t>amount</w:t>
      </w:r>
      <w:r>
        <w:rPr>
          <w:b w:val="0"/>
          <w:color w:val="000009"/>
          <w:spacing w:val="37"/>
          <w:sz w:val="28"/>
        </w:rPr>
        <w:t> </w:t>
      </w:r>
      <w:r>
        <w:rPr>
          <w:b w:val="0"/>
          <w:color w:val="000009"/>
          <w:sz w:val="28"/>
        </w:rPr>
        <w:t>which</w:t>
      </w:r>
      <w:r>
        <w:rPr>
          <w:b w:val="0"/>
          <w:color w:val="000009"/>
          <w:spacing w:val="35"/>
          <w:sz w:val="28"/>
        </w:rPr>
        <w:t> </w:t>
      </w:r>
      <w:r>
        <w:rPr>
          <w:b w:val="0"/>
          <w:color w:val="000009"/>
          <w:sz w:val="28"/>
        </w:rPr>
        <w:t>may</w:t>
      </w:r>
      <w:r>
        <w:rPr>
          <w:b w:val="0"/>
          <w:color w:val="000009"/>
          <w:spacing w:val="35"/>
          <w:sz w:val="28"/>
        </w:rPr>
        <w:t> </w:t>
      </w:r>
      <w:r>
        <w:rPr>
          <w:b w:val="0"/>
          <w:color w:val="000009"/>
          <w:sz w:val="28"/>
        </w:rPr>
        <w:t>have</w:t>
      </w:r>
      <w:r>
        <w:rPr>
          <w:b w:val="0"/>
          <w:color w:val="000009"/>
          <w:spacing w:val="36"/>
          <w:sz w:val="28"/>
        </w:rPr>
        <w:t> </w:t>
      </w:r>
      <w:r>
        <w:rPr>
          <w:b w:val="0"/>
          <w:color w:val="000009"/>
          <w:sz w:val="28"/>
        </w:rPr>
        <w:t>been</w:t>
      </w:r>
      <w:r>
        <w:rPr>
          <w:b w:val="0"/>
          <w:color w:val="000009"/>
          <w:spacing w:val="34"/>
          <w:sz w:val="28"/>
        </w:rPr>
        <w:t> </w:t>
      </w:r>
      <w:r>
        <w:rPr>
          <w:b w:val="0"/>
          <w:color w:val="000009"/>
          <w:sz w:val="28"/>
        </w:rPr>
        <w:t>paid.</w:t>
      </w:r>
      <w:r>
        <w:rPr>
          <w:b w:val="0"/>
          <w:color w:val="000009"/>
          <w:spacing w:val="36"/>
          <w:sz w:val="28"/>
        </w:rPr>
        <w:t> </w:t>
      </w:r>
      <w:r>
        <w:rPr>
          <w:b w:val="0"/>
          <w:color w:val="000009"/>
          <w:sz w:val="28"/>
        </w:rPr>
        <w:t>The</w:t>
      </w:r>
    </w:p>
    <w:p>
      <w:pPr>
        <w:spacing w:after="0" w:line="491" w:lineRule="auto"/>
        <w:jc w:val="both"/>
        <w:rPr>
          <w:sz w:val="28"/>
        </w:rPr>
        <w:sectPr>
          <w:pgSz w:w="11900" w:h="16840"/>
          <w:pgMar w:header="0" w:footer="1034" w:top="780" w:bottom="1220" w:left="940" w:right="1320"/>
        </w:sectPr>
      </w:pPr>
    </w:p>
    <w:p>
      <w:pPr>
        <w:pStyle w:val="BodyText"/>
        <w:spacing w:before="70"/>
        <w:ind w:left="0" w:right="120"/>
        <w:jc w:val="right"/>
        <w:rPr>
          <w:b w:val="0"/>
        </w:rPr>
      </w:pPr>
      <w:r>
        <w:rPr>
          <w:b w:val="0"/>
          <w:color w:val="000009"/>
        </w:rPr>
        <w:t>amount payable to the Appellants shall carry Interest @ 7.5%</w:t>
      </w:r>
    </w:p>
    <w:p>
      <w:pPr>
        <w:pStyle w:val="BodyText"/>
        <w:spacing w:before="4"/>
        <w:ind w:left="0"/>
        <w:rPr>
          <w:b w:val="0"/>
          <w:sz w:val="29"/>
        </w:rPr>
      </w:pPr>
    </w:p>
    <w:p>
      <w:pPr>
        <w:pStyle w:val="BodyText"/>
        <w:spacing w:line="491" w:lineRule="auto" w:before="1"/>
        <w:rPr>
          <w:b w:val="0"/>
        </w:rPr>
      </w:pPr>
      <w:r>
        <w:rPr>
          <w:b w:val="0"/>
          <w:color w:val="000009"/>
        </w:rPr>
        <w:t>p.a. from the date of filing the claim petition till the date of realization.</w:t>
      </w:r>
    </w:p>
    <w:p>
      <w:pPr>
        <w:pStyle w:val="ListParagraph"/>
        <w:numPr>
          <w:ilvl w:val="0"/>
          <w:numId w:val="1"/>
        </w:numPr>
        <w:tabs>
          <w:tab w:pos="1070" w:val="left" w:leader="none"/>
        </w:tabs>
        <w:spacing w:line="240" w:lineRule="auto" w:before="0" w:after="0"/>
        <w:ind w:left="1070" w:right="0" w:hanging="569"/>
        <w:jc w:val="left"/>
        <w:rPr>
          <w:b w:val="0"/>
          <w:color w:val="000009"/>
          <w:sz w:val="28"/>
        </w:rPr>
      </w:pPr>
      <w:r>
        <w:rPr>
          <w:b w:val="0"/>
          <w:color w:val="000009"/>
          <w:sz w:val="28"/>
        </w:rPr>
        <w:t>The Civil Appeal is allowed in the aforesaid</w:t>
      </w:r>
      <w:r>
        <w:rPr>
          <w:b w:val="0"/>
          <w:color w:val="000009"/>
          <w:spacing w:val="-7"/>
          <w:sz w:val="28"/>
        </w:rPr>
        <w:t> </w:t>
      </w:r>
      <w:r>
        <w:rPr>
          <w:b w:val="0"/>
          <w:color w:val="000009"/>
          <w:sz w:val="28"/>
        </w:rPr>
        <w:t>terms.</w:t>
      </w:r>
    </w:p>
    <w:p>
      <w:pPr>
        <w:pStyle w:val="BodyText"/>
        <w:ind w:left="0"/>
        <w:rPr>
          <w:b w:val="0"/>
          <w:sz w:val="34"/>
        </w:rPr>
      </w:pPr>
    </w:p>
    <w:p>
      <w:pPr>
        <w:pStyle w:val="BodyText"/>
        <w:ind w:left="0"/>
        <w:rPr>
          <w:b w:val="0"/>
          <w:sz w:val="34"/>
        </w:rPr>
      </w:pPr>
    </w:p>
    <w:p>
      <w:pPr>
        <w:pStyle w:val="BodyText"/>
        <w:spacing w:line="491" w:lineRule="auto" w:before="221"/>
        <w:rPr>
          <w:b w:val="0"/>
        </w:rPr>
      </w:pPr>
      <w:r>
        <w:rPr>
          <w:b w:val="0"/>
          <w:color w:val="000009"/>
        </w:rPr>
        <w:t>All pending Applications, if any, are accordingly disposed of. Ordered accordingly.</w:t>
      </w:r>
    </w:p>
    <w:p>
      <w:pPr>
        <w:pStyle w:val="BodyText"/>
        <w:ind w:left="0"/>
        <w:rPr>
          <w:b w:val="0"/>
          <w:sz w:val="34"/>
        </w:rPr>
      </w:pPr>
    </w:p>
    <w:p>
      <w:pPr>
        <w:pStyle w:val="BodyText"/>
        <w:spacing w:before="294"/>
        <w:ind w:left="0" w:right="111"/>
        <w:jc w:val="right"/>
        <w:rPr>
          <w:b/>
        </w:rPr>
      </w:pPr>
      <w:r>
        <w:rPr>
          <w:b/>
          <w:color w:val="000009"/>
          <w:spacing w:val="-1"/>
        </w:rPr>
        <w:t>...…...............………………J.</w:t>
      </w:r>
    </w:p>
    <w:p>
      <w:pPr>
        <w:pStyle w:val="BodyText"/>
        <w:spacing w:before="37"/>
        <w:ind w:left="0" w:right="111"/>
        <w:jc w:val="right"/>
        <w:rPr>
          <w:b/>
        </w:rPr>
      </w:pPr>
      <w:r>
        <w:rPr>
          <w:b/>
          <w:color w:val="000009"/>
        </w:rPr>
        <w:t>(R.</w:t>
      </w:r>
      <w:r>
        <w:rPr>
          <w:b/>
          <w:color w:val="000009"/>
          <w:spacing w:val="-6"/>
        </w:rPr>
        <w:t> </w:t>
      </w:r>
      <w:r>
        <w:rPr>
          <w:b/>
          <w:color w:val="000009"/>
        </w:rPr>
        <w:t>BANUMATHI)</w:t>
      </w:r>
    </w:p>
    <w:p>
      <w:pPr>
        <w:pStyle w:val="BodyText"/>
        <w:ind w:left="0"/>
        <w:rPr>
          <w:b/>
          <w:sz w:val="36"/>
        </w:rPr>
      </w:pPr>
    </w:p>
    <w:p>
      <w:pPr>
        <w:pStyle w:val="BodyText"/>
        <w:ind w:left="0"/>
        <w:rPr>
          <w:b/>
          <w:sz w:val="36"/>
        </w:rPr>
      </w:pPr>
    </w:p>
    <w:p>
      <w:pPr>
        <w:pStyle w:val="BodyText"/>
        <w:spacing w:before="6"/>
        <w:ind w:left="0"/>
        <w:rPr>
          <w:b/>
          <w:sz w:val="46"/>
        </w:rPr>
      </w:pPr>
    </w:p>
    <w:p>
      <w:pPr>
        <w:pStyle w:val="BodyText"/>
        <w:ind w:left="0" w:right="111"/>
        <w:jc w:val="right"/>
        <w:rPr>
          <w:b/>
        </w:rPr>
      </w:pPr>
      <w:r>
        <w:rPr>
          <w:b/>
          <w:color w:val="000009"/>
          <w:spacing w:val="-1"/>
        </w:rPr>
        <w:t>...…...............………………J.</w:t>
      </w:r>
    </w:p>
    <w:p>
      <w:pPr>
        <w:pStyle w:val="BodyText"/>
        <w:spacing w:before="37"/>
        <w:ind w:left="0" w:right="110"/>
        <w:jc w:val="right"/>
        <w:rPr>
          <w:b/>
        </w:rPr>
      </w:pPr>
      <w:r>
        <w:rPr>
          <w:b/>
          <w:color w:val="000009"/>
        </w:rPr>
        <w:t>(INDU</w:t>
      </w:r>
      <w:r>
        <w:rPr>
          <w:b/>
          <w:color w:val="000009"/>
          <w:spacing w:val="-5"/>
        </w:rPr>
        <w:t> </w:t>
      </w:r>
      <w:r>
        <w:rPr>
          <w:b/>
          <w:color w:val="000009"/>
        </w:rPr>
        <w:t>MALHOTRA)</w:t>
      </w:r>
    </w:p>
    <w:p>
      <w:pPr>
        <w:pStyle w:val="BodyText"/>
        <w:ind w:left="0"/>
        <w:rPr>
          <w:b/>
          <w:sz w:val="36"/>
        </w:rPr>
      </w:pPr>
    </w:p>
    <w:p>
      <w:pPr>
        <w:pStyle w:val="BodyText"/>
        <w:ind w:left="0"/>
        <w:rPr>
          <w:b/>
          <w:sz w:val="36"/>
        </w:rPr>
      </w:pPr>
    </w:p>
    <w:p>
      <w:pPr>
        <w:pStyle w:val="BodyText"/>
        <w:ind w:left="0"/>
        <w:rPr>
          <w:b/>
          <w:sz w:val="36"/>
        </w:rPr>
      </w:pPr>
    </w:p>
    <w:p>
      <w:pPr>
        <w:pStyle w:val="BodyText"/>
        <w:spacing w:line="266" w:lineRule="auto" w:before="234"/>
        <w:ind w:left="6628" w:right="111" w:hanging="1046"/>
        <w:jc w:val="right"/>
        <w:rPr>
          <w:b/>
        </w:rPr>
      </w:pPr>
      <w:r>
        <w:rPr>
          <w:b/>
          <w:color w:val="000009"/>
          <w:spacing w:val="-1"/>
        </w:rPr>
        <w:t>...…...............………………J. </w:t>
      </w:r>
      <w:r>
        <w:rPr>
          <w:b/>
          <w:color w:val="000009"/>
        </w:rPr>
        <w:t>(ANIRUDDHA </w:t>
      </w:r>
      <w:r>
        <w:rPr>
          <w:b/>
          <w:color w:val="000009"/>
          <w:spacing w:val="-4"/>
        </w:rPr>
        <w:t>BOSE)</w:t>
      </w:r>
    </w:p>
    <w:p>
      <w:pPr>
        <w:pStyle w:val="BodyText"/>
        <w:ind w:left="0"/>
        <w:rPr>
          <w:b/>
          <w:sz w:val="36"/>
        </w:rPr>
      </w:pPr>
    </w:p>
    <w:p>
      <w:pPr>
        <w:pStyle w:val="BodyText"/>
        <w:spacing w:before="312"/>
        <w:ind w:left="501"/>
        <w:rPr>
          <w:b/>
        </w:rPr>
      </w:pPr>
      <w:r>
        <w:rPr>
          <w:b/>
          <w:color w:val="000009"/>
        </w:rPr>
        <w:t>June16, 2020;</w:t>
      </w:r>
    </w:p>
    <w:p>
      <w:pPr>
        <w:pStyle w:val="BodyText"/>
        <w:spacing w:before="37"/>
        <w:ind w:left="501"/>
        <w:rPr>
          <w:b/>
        </w:rPr>
      </w:pPr>
      <w:r>
        <w:rPr>
          <w:b/>
          <w:color w:val="000009"/>
        </w:rPr>
        <w:t>New Delhi.</w:t>
      </w:r>
    </w:p>
    <w:sectPr>
      <w:pgSz w:w="11900" w:h="16840"/>
      <w:pgMar w:header="0" w:footer="1034" w:top="780" w:bottom="12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88.799988pt;margin-top:779.289551pt;width:18pt;height:14.85pt;mso-position-horizontal-relative:page;mso-position-vertical-relative:page;z-index:-251885568" type="#_x0000_t202" filled="false" stroked="false">
          <v:textbox inset="0,0,0,0">
            <w:txbxContent>
              <w:p>
                <w:pPr>
                  <w:spacing w:before="11"/>
                  <w:ind w:left="40" w:right="0" w:firstLine="0"/>
                  <w:jc w:val="left"/>
                  <w:rPr>
                    <w:rFonts w:ascii="Lucida Sans"/>
                    <w:sz w:val="22"/>
                  </w:rPr>
                </w:pPr>
                <w:r>
                  <w:rPr/>
                  <w:fldChar w:fldCharType="begin"/>
                </w:r>
                <w:r>
                  <w:rPr>
                    <w:rFonts w:ascii="Lucida Sans"/>
                    <w:color w:val="000009"/>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770" w:hanging="720"/>
        <w:jc w:val="left"/>
      </w:pPr>
      <w:rPr>
        <w:rFonts w:hint="default" w:ascii="Bookman Old Style" w:hAnsi="Bookman Old Style" w:eastAsia="Bookman Old Style" w:cs="Bookman Old Style"/>
        <w:color w:val="000009"/>
        <w:w w:val="100"/>
        <w:sz w:val="28"/>
        <w:szCs w:val="28"/>
        <w:lang w:val="en-US" w:eastAsia="en-US" w:bidi="en-US"/>
      </w:rPr>
    </w:lvl>
    <w:lvl w:ilvl="1">
      <w:start w:val="0"/>
      <w:numFmt w:val="bullet"/>
      <w:lvlText w:val="•"/>
      <w:lvlJc w:val="left"/>
      <w:pPr>
        <w:ind w:left="1206" w:hanging="720"/>
      </w:pPr>
      <w:rPr>
        <w:rFonts w:hint="default"/>
        <w:lang w:val="en-US" w:eastAsia="en-US" w:bidi="en-US"/>
      </w:rPr>
    </w:lvl>
    <w:lvl w:ilvl="2">
      <w:start w:val="0"/>
      <w:numFmt w:val="bullet"/>
      <w:lvlText w:val="•"/>
      <w:lvlJc w:val="left"/>
      <w:pPr>
        <w:ind w:left="1632" w:hanging="720"/>
      </w:pPr>
      <w:rPr>
        <w:rFonts w:hint="default"/>
        <w:lang w:val="en-US" w:eastAsia="en-US" w:bidi="en-US"/>
      </w:rPr>
    </w:lvl>
    <w:lvl w:ilvl="3">
      <w:start w:val="0"/>
      <w:numFmt w:val="bullet"/>
      <w:lvlText w:val="•"/>
      <w:lvlJc w:val="left"/>
      <w:pPr>
        <w:ind w:left="2058" w:hanging="720"/>
      </w:pPr>
      <w:rPr>
        <w:rFonts w:hint="default"/>
        <w:lang w:val="en-US" w:eastAsia="en-US" w:bidi="en-US"/>
      </w:rPr>
    </w:lvl>
    <w:lvl w:ilvl="4">
      <w:start w:val="0"/>
      <w:numFmt w:val="bullet"/>
      <w:lvlText w:val="•"/>
      <w:lvlJc w:val="left"/>
      <w:pPr>
        <w:ind w:left="2484" w:hanging="720"/>
      </w:pPr>
      <w:rPr>
        <w:rFonts w:hint="default"/>
        <w:lang w:val="en-US" w:eastAsia="en-US" w:bidi="en-US"/>
      </w:rPr>
    </w:lvl>
    <w:lvl w:ilvl="5">
      <w:start w:val="0"/>
      <w:numFmt w:val="bullet"/>
      <w:lvlText w:val="•"/>
      <w:lvlJc w:val="left"/>
      <w:pPr>
        <w:ind w:left="2911" w:hanging="720"/>
      </w:pPr>
      <w:rPr>
        <w:rFonts w:hint="default"/>
        <w:lang w:val="en-US" w:eastAsia="en-US" w:bidi="en-US"/>
      </w:rPr>
    </w:lvl>
    <w:lvl w:ilvl="6">
      <w:start w:val="0"/>
      <w:numFmt w:val="bullet"/>
      <w:lvlText w:val="•"/>
      <w:lvlJc w:val="left"/>
      <w:pPr>
        <w:ind w:left="3337" w:hanging="720"/>
      </w:pPr>
      <w:rPr>
        <w:rFonts w:hint="default"/>
        <w:lang w:val="en-US" w:eastAsia="en-US" w:bidi="en-US"/>
      </w:rPr>
    </w:lvl>
    <w:lvl w:ilvl="7">
      <w:start w:val="0"/>
      <w:numFmt w:val="bullet"/>
      <w:lvlText w:val="•"/>
      <w:lvlJc w:val="left"/>
      <w:pPr>
        <w:ind w:left="3763" w:hanging="720"/>
      </w:pPr>
      <w:rPr>
        <w:rFonts w:hint="default"/>
        <w:lang w:val="en-US" w:eastAsia="en-US" w:bidi="en-US"/>
      </w:rPr>
    </w:lvl>
    <w:lvl w:ilvl="8">
      <w:start w:val="0"/>
      <w:numFmt w:val="bullet"/>
      <w:lvlText w:val="•"/>
      <w:lvlJc w:val="left"/>
      <w:pPr>
        <w:ind w:left="4189" w:hanging="720"/>
      </w:pPr>
      <w:rPr>
        <w:rFonts w:hint="default"/>
        <w:lang w:val="en-US" w:eastAsia="en-US" w:bidi="en-US"/>
      </w:rPr>
    </w:lvl>
  </w:abstractNum>
  <w:abstractNum w:abstractNumId="0">
    <w:multiLevelType w:val="hybridMultilevel"/>
    <w:lvl w:ilvl="0">
      <w:start w:val="1"/>
      <w:numFmt w:val="decimal"/>
      <w:lvlText w:val="%1."/>
      <w:lvlJc w:val="left"/>
      <w:pPr>
        <w:ind w:left="1070" w:hanging="1166"/>
        <w:jc w:val="right"/>
      </w:pPr>
      <w:rPr>
        <w:rFonts w:hint="default"/>
        <w:spacing w:val="-1"/>
        <w:w w:val="100"/>
        <w:lang w:val="en-US" w:eastAsia="en-US" w:bidi="en-US"/>
      </w:rPr>
    </w:lvl>
    <w:lvl w:ilvl="1">
      <w:start w:val="0"/>
      <w:numFmt w:val="bullet"/>
      <w:lvlText w:val="•"/>
      <w:lvlJc w:val="left"/>
      <w:pPr>
        <w:ind w:left="1936" w:hanging="1166"/>
      </w:pPr>
      <w:rPr>
        <w:rFonts w:hint="default"/>
        <w:lang w:val="en-US" w:eastAsia="en-US" w:bidi="en-US"/>
      </w:rPr>
    </w:lvl>
    <w:lvl w:ilvl="2">
      <w:start w:val="0"/>
      <w:numFmt w:val="bullet"/>
      <w:lvlText w:val="•"/>
      <w:lvlJc w:val="left"/>
      <w:pPr>
        <w:ind w:left="2792" w:hanging="1166"/>
      </w:pPr>
      <w:rPr>
        <w:rFonts w:hint="default"/>
        <w:lang w:val="en-US" w:eastAsia="en-US" w:bidi="en-US"/>
      </w:rPr>
    </w:lvl>
    <w:lvl w:ilvl="3">
      <w:start w:val="0"/>
      <w:numFmt w:val="bullet"/>
      <w:lvlText w:val="•"/>
      <w:lvlJc w:val="left"/>
      <w:pPr>
        <w:ind w:left="3648" w:hanging="1166"/>
      </w:pPr>
      <w:rPr>
        <w:rFonts w:hint="default"/>
        <w:lang w:val="en-US" w:eastAsia="en-US" w:bidi="en-US"/>
      </w:rPr>
    </w:lvl>
    <w:lvl w:ilvl="4">
      <w:start w:val="0"/>
      <w:numFmt w:val="bullet"/>
      <w:lvlText w:val="•"/>
      <w:lvlJc w:val="left"/>
      <w:pPr>
        <w:ind w:left="4504" w:hanging="1166"/>
      </w:pPr>
      <w:rPr>
        <w:rFonts w:hint="default"/>
        <w:lang w:val="en-US" w:eastAsia="en-US" w:bidi="en-US"/>
      </w:rPr>
    </w:lvl>
    <w:lvl w:ilvl="5">
      <w:start w:val="0"/>
      <w:numFmt w:val="bullet"/>
      <w:lvlText w:val="•"/>
      <w:lvlJc w:val="left"/>
      <w:pPr>
        <w:ind w:left="5360" w:hanging="1166"/>
      </w:pPr>
      <w:rPr>
        <w:rFonts w:hint="default"/>
        <w:lang w:val="en-US" w:eastAsia="en-US" w:bidi="en-US"/>
      </w:rPr>
    </w:lvl>
    <w:lvl w:ilvl="6">
      <w:start w:val="0"/>
      <w:numFmt w:val="bullet"/>
      <w:lvlText w:val="•"/>
      <w:lvlJc w:val="left"/>
      <w:pPr>
        <w:ind w:left="6216" w:hanging="1166"/>
      </w:pPr>
      <w:rPr>
        <w:rFonts w:hint="default"/>
        <w:lang w:val="en-US" w:eastAsia="en-US" w:bidi="en-US"/>
      </w:rPr>
    </w:lvl>
    <w:lvl w:ilvl="7">
      <w:start w:val="0"/>
      <w:numFmt w:val="bullet"/>
      <w:lvlText w:val="•"/>
      <w:lvlJc w:val="left"/>
      <w:pPr>
        <w:ind w:left="7072" w:hanging="1166"/>
      </w:pPr>
      <w:rPr>
        <w:rFonts w:hint="default"/>
        <w:lang w:val="en-US" w:eastAsia="en-US" w:bidi="en-US"/>
      </w:rPr>
    </w:lvl>
    <w:lvl w:ilvl="8">
      <w:start w:val="0"/>
      <w:numFmt w:val="bullet"/>
      <w:lvlText w:val="•"/>
      <w:lvlJc w:val="left"/>
      <w:pPr>
        <w:ind w:left="7928" w:hanging="1166"/>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ind w:left="1070"/>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ind w:left="1070" w:right="120" w:hanging="568"/>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spacing w:line="317" w:lineRule="exact"/>
      <w:ind w:left="423"/>
    </w:pPr>
    <w:rPr>
      <w:rFonts w:ascii="Bookman Old Style" w:hAnsi="Bookman Old Style" w:eastAsia="Bookman Old Style" w:cs="Bookman Old Style"/>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dcterms:created xsi:type="dcterms:W3CDTF">2020-06-17T05:00:33Z</dcterms:created>
  <dcterms:modified xsi:type="dcterms:W3CDTF">2020-06-17T05:00:33Z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Writer</vt:lpwstr>
  </property>
  <property fmtid="{D5CDD505-2E9C-101B-9397-08002B2CF9AE}" pid="4" name="LastSaved">
    <vt:filetime>2020-06-17T00:00:00Z</vt:filetime>
  </property>
</Properties>
</file>