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6"/>
        <w:ind w:right="110"/>
        <w:jc w:val="right"/>
        <w:rPr>
          <w:b/>
        </w:rPr>
      </w:pPr>
      <w:r>
        <w:rPr>
          <w:b/>
          <w:color w:val="000009"/>
          <w:u w:val="thick" w:color="000009"/>
        </w:rPr>
        <w:t>NON­REPORTABLE</w:t>
      </w:r>
    </w:p>
    <w:p>
      <w:pPr>
        <w:pStyle w:val="BodyText"/>
        <w:spacing w:before="5"/>
        <w:rPr>
          <w:b/>
          <w:sz w:val="24"/>
        </w:rPr>
      </w:pPr>
    </w:p>
    <w:p>
      <w:pPr>
        <w:pStyle w:val="BodyText"/>
        <w:spacing w:line="247" w:lineRule="auto" w:before="98"/>
        <w:ind w:left="2516" w:right="1497"/>
        <w:jc w:val="center"/>
        <w:rPr>
          <w:b w:val="0"/>
        </w:rPr>
      </w:pPr>
      <w:r>
        <w:rPr>
          <w:b w:val="0"/>
          <w:color w:val="000009"/>
        </w:rPr>
        <w:t>IN THE SUPREME COURT OF INDIA CIVIL APPELLATE JURISDICTION</w:t>
      </w:r>
    </w:p>
    <w:p>
      <w:pPr>
        <w:pStyle w:val="BodyText"/>
        <w:spacing w:before="1"/>
        <w:rPr>
          <w:b w:val="0"/>
          <w:sz w:val="30"/>
        </w:rPr>
      </w:pPr>
    </w:p>
    <w:p>
      <w:pPr>
        <w:pStyle w:val="BodyText"/>
        <w:ind w:left="1881" w:right="1496"/>
        <w:jc w:val="center"/>
        <w:rPr>
          <w:b/>
        </w:rPr>
      </w:pPr>
      <w:r>
        <w:rPr>
          <w:b/>
          <w:color w:val="000009"/>
          <w:u w:val="thick" w:color="000009"/>
        </w:rPr>
        <w:t>CIVIL APPEAL NO(s). 2611 OF 2020</w:t>
      </w:r>
    </w:p>
    <w:p>
      <w:pPr>
        <w:pStyle w:val="BodyText"/>
        <w:spacing w:before="19"/>
        <w:ind w:left="1881" w:right="1497"/>
        <w:jc w:val="center"/>
        <w:rPr>
          <w:b w:val="0"/>
        </w:rPr>
      </w:pPr>
      <w:r>
        <w:rPr>
          <w:b w:val="0"/>
          <w:color w:val="000009"/>
        </w:rPr>
        <w:t>(arising out of SLP (Civil) No(s). 9689 of 2018)</w:t>
      </w:r>
    </w:p>
    <w:p>
      <w:pPr>
        <w:pStyle w:val="BodyText"/>
        <w:spacing w:before="5"/>
        <w:rPr>
          <w:b w:val="0"/>
          <w:sz w:val="29"/>
        </w:rPr>
      </w:pPr>
    </w:p>
    <w:p>
      <w:pPr>
        <w:pStyle w:val="BodyText"/>
        <w:tabs>
          <w:tab w:pos="6261" w:val="left" w:leader="none"/>
        </w:tabs>
        <w:ind w:left="501"/>
        <w:rPr>
          <w:b w:val="0"/>
        </w:rPr>
      </w:pPr>
      <w:r>
        <w:rPr>
          <w:b w:val="0"/>
          <w:color w:val="000009"/>
        </w:rPr>
        <w:t>SAVITHA</w:t>
        <w:tab/>
        <w:t>...APPELLANT(S)</w:t>
      </w:r>
    </w:p>
    <w:p>
      <w:pPr>
        <w:pStyle w:val="BodyText"/>
        <w:spacing w:line="500" w:lineRule="atLeast" w:before="92"/>
        <w:ind w:left="501" w:right="3390" w:firstLine="3920"/>
        <w:rPr>
          <w:b w:val="0"/>
        </w:rPr>
      </w:pPr>
      <w:r>
        <w:rPr>
          <w:b w:val="0"/>
          <w:color w:val="000009"/>
        </w:rPr>
        <w:t>VERSUS M/s. CHODAMANDALAM M.S. GENERAL</w:t>
      </w:r>
    </w:p>
    <w:p>
      <w:pPr>
        <w:pStyle w:val="BodyText"/>
        <w:tabs>
          <w:tab w:pos="6261" w:val="left" w:leader="none"/>
        </w:tabs>
        <w:spacing w:before="14"/>
        <w:ind w:left="501"/>
        <w:rPr>
          <w:b w:val="0"/>
        </w:rPr>
      </w:pPr>
      <w:r>
        <w:rPr>
          <w:b w:val="0"/>
          <w:color w:val="000009"/>
        </w:rPr>
        <w:t>INSURANCE CO. LTD.</w:t>
      </w:r>
      <w:r>
        <w:rPr>
          <w:b w:val="0"/>
          <w:color w:val="000009"/>
          <w:spacing w:val="-5"/>
        </w:rPr>
        <w:t> </w:t>
      </w:r>
      <w:r>
        <w:rPr>
          <w:b w:val="0"/>
          <w:color w:val="000009"/>
        </w:rPr>
        <w:t>AND</w:t>
      </w:r>
      <w:r>
        <w:rPr>
          <w:b w:val="0"/>
          <w:color w:val="000009"/>
          <w:spacing w:val="-2"/>
        </w:rPr>
        <w:t> </w:t>
      </w:r>
      <w:r>
        <w:rPr>
          <w:b w:val="0"/>
          <w:color w:val="000009"/>
        </w:rPr>
        <w:t>OTHERS</w:t>
        <w:tab/>
        <w:t>...RESPONDENT(S)</w:t>
      </w:r>
    </w:p>
    <w:p>
      <w:pPr>
        <w:pStyle w:val="BodyText"/>
        <w:rPr>
          <w:b w:val="0"/>
          <w:sz w:val="34"/>
        </w:rPr>
      </w:pPr>
    </w:p>
    <w:p>
      <w:pPr>
        <w:pStyle w:val="BodyText"/>
        <w:spacing w:before="250"/>
        <w:ind w:left="2518" w:right="1497"/>
        <w:jc w:val="center"/>
        <w:rPr>
          <w:b/>
        </w:rPr>
      </w:pPr>
      <w:r>
        <w:rPr>
          <w:b/>
          <w:color w:val="000009"/>
          <w:u w:val="thick" w:color="000009"/>
        </w:rPr>
        <w:t>JUDGMENT</w:t>
      </w:r>
    </w:p>
    <w:p>
      <w:pPr>
        <w:pStyle w:val="BodyText"/>
        <w:spacing w:before="5"/>
        <w:rPr>
          <w:b/>
          <w:sz w:val="24"/>
        </w:rPr>
      </w:pPr>
    </w:p>
    <w:p>
      <w:pPr>
        <w:pStyle w:val="BodyText"/>
        <w:spacing w:before="117"/>
        <w:ind w:left="1131"/>
        <w:rPr>
          <w:b/>
        </w:rPr>
      </w:pPr>
      <w:r>
        <w:rPr>
          <w:b/>
          <w:color w:val="000009"/>
          <w:u w:val="thick" w:color="000009"/>
        </w:rPr>
        <w:t>NAVIN SINHA, J.</w:t>
      </w:r>
    </w:p>
    <w:p>
      <w:pPr>
        <w:pStyle w:val="BodyText"/>
        <w:spacing w:before="5"/>
        <w:rPr>
          <w:b/>
          <w:sz w:val="24"/>
        </w:rPr>
      </w:pPr>
    </w:p>
    <w:p>
      <w:pPr>
        <w:pStyle w:val="BodyText"/>
        <w:spacing w:before="98"/>
        <w:ind w:left="1221"/>
        <w:rPr>
          <w:b w:val="0"/>
        </w:rPr>
      </w:pPr>
      <w:r>
        <w:rPr>
          <w:b w:val="0"/>
          <w:color w:val="000009"/>
        </w:rPr>
        <w:t>Leave granted.</w:t>
      </w:r>
    </w:p>
    <w:p>
      <w:pPr>
        <w:pStyle w:val="BodyText"/>
        <w:spacing w:before="5"/>
        <w:rPr>
          <w:b w:val="0"/>
          <w:sz w:val="29"/>
        </w:rPr>
      </w:pPr>
    </w:p>
    <w:p>
      <w:pPr>
        <w:pStyle w:val="ListParagraph"/>
        <w:numPr>
          <w:ilvl w:val="0"/>
          <w:numId w:val="1"/>
        </w:numPr>
        <w:tabs>
          <w:tab w:pos="1222" w:val="left" w:leader="none"/>
        </w:tabs>
        <w:spacing w:line="491" w:lineRule="auto" w:before="0" w:after="0"/>
        <w:ind w:left="501" w:right="122" w:firstLine="0"/>
        <w:jc w:val="both"/>
        <w:rPr>
          <w:b w:val="0"/>
          <w:sz w:val="28"/>
        </w:rPr>
      </w:pPr>
      <w:r>
        <w:rPr>
          <w:b w:val="0"/>
          <w:color w:val="000009"/>
          <w:sz w:val="28"/>
        </w:rPr>
        <w:t>The appellant, a housewife, is in appeal against inadequacy of compensation granted to her in a motor accident</w:t>
      </w:r>
      <w:r>
        <w:rPr>
          <w:b w:val="0"/>
          <w:color w:val="000009"/>
          <w:spacing w:val="-12"/>
          <w:sz w:val="28"/>
        </w:rPr>
        <w:t> </w:t>
      </w:r>
      <w:r>
        <w:rPr>
          <w:b w:val="0"/>
          <w:color w:val="000009"/>
          <w:sz w:val="28"/>
        </w:rPr>
        <w:t>case.</w:t>
      </w:r>
    </w:p>
    <w:p>
      <w:pPr>
        <w:pStyle w:val="BodyText"/>
        <w:spacing w:before="4"/>
        <w:rPr>
          <w:b w:val="0"/>
        </w:rPr>
      </w:pPr>
    </w:p>
    <w:p>
      <w:pPr>
        <w:pStyle w:val="ListParagraph"/>
        <w:numPr>
          <w:ilvl w:val="0"/>
          <w:numId w:val="1"/>
        </w:numPr>
        <w:tabs>
          <w:tab w:pos="858" w:val="left" w:leader="none"/>
        </w:tabs>
        <w:spacing w:line="670" w:lineRule="atLeast" w:before="0" w:after="0"/>
        <w:ind w:left="501" w:right="121" w:firstLine="0"/>
        <w:jc w:val="both"/>
        <w:rPr>
          <w:b w:val="0"/>
          <w:sz w:val="28"/>
        </w:rPr>
      </w:pPr>
      <w:r>
        <w:rPr>
          <w:b w:val="0"/>
          <w:color w:val="000009"/>
          <w:sz w:val="28"/>
        </w:rPr>
        <w:t>The appellant while travelling in a bus belonging to respondent no.3 on 25.12.2008 met with an accident when a lorry rashly and negligently dashed against the bus. The appellant suffered nine injuries out of which seven were grievous in nature. P.W.4, the Orthopedic Surgeon who operated upon the appellant,</w:t>
      </w:r>
      <w:r>
        <w:rPr>
          <w:b w:val="0"/>
          <w:color w:val="000009"/>
          <w:spacing w:val="78"/>
          <w:sz w:val="28"/>
        </w:rPr>
        <w:t> </w:t>
      </w:r>
      <w:r>
        <w:rPr>
          <w:b w:val="0"/>
          <w:color w:val="000009"/>
          <w:sz w:val="28"/>
        </w:rPr>
        <w:t>deposed</w:t>
      </w:r>
    </w:p>
    <w:p>
      <w:pPr>
        <w:spacing w:before="105"/>
        <w:ind w:left="100" w:right="0" w:firstLine="0"/>
        <w:jc w:val="left"/>
        <w:rPr>
          <w:rFonts w:ascii="Arial"/>
          <w:sz w:val="9"/>
        </w:rPr>
      </w:pPr>
      <w:r>
        <w:rPr/>
        <w:pict>
          <v:group style="position:absolute;margin-left:62.882401pt;margin-top:7.485352pt;width:21.85pt;height:31.5pt;mso-position-horizontal-relative:page;mso-position-vertical-relative:paragraph;z-index:-15782400" coordorigin="1258,150" coordsize="437,630">
            <v:shape style="position:absolute;left:1276;top:168;width:417;height:611" coordorigin="1277,169" coordsize="417,611" path="m1677,268l1486,268,1514,272,1540,285,1560,310,1568,351,1564,375,1554,397,1538,417,1516,435,1470,473,1444,510,1433,552,1430,605,1541,605,1544,567,1553,541,1569,521,1592,502,1635,468,1667,433,1687,394,1694,347,1677,268xm1479,169l1409,179,1343,212,1295,273,1277,365,1396,365,1396,365,1401,333,1414,302,1441,278,1486,268,1677,268,1676,266,1633,214,1576,184,1521,172,1479,169xm1549,661l1427,661,1427,779,1549,779,1549,661xe" filled="true" fillcolor="#000000" stroked="false">
              <v:path arrowok="t"/>
              <v:fill type="solid"/>
            </v:shape>
            <v:shape style="position:absolute;left:1258;top:150;width:417;height:611" coordorigin="1258,150" coordsize="417,611" path="m1658,249l1468,249,1495,253,1522,266,1541,292,1549,332,1545,357,1535,378,1519,398,1497,416,1451,454,1425,491,1414,533,1411,586,1522,586,1525,549,1534,522,1550,502,1573,483,1617,449,1648,414,1668,375,1675,329,1658,249xm1460,150l1390,160,1325,194,1277,254,1258,347,1377,347,1377,346,1382,314,1396,283,1422,259,1468,249,1658,249,1657,247,1614,195,1558,166,1502,153,1460,150xm1530,643l1408,643,1408,761,1530,761,1530,643xe" filled="true" fillcolor="#ffff66" stroked="false">
              <v:path arrowok="t"/>
              <v:fill type="solid"/>
            </v:shape>
            <v:shape style="position:absolute;left:1258;top:150;width:417;height:611" coordorigin="1258,150" coordsize="417,611" path="m1411,586l1414,533,1425,491,1451,454,1497,416,1519,398,1535,378,1545,357,1549,332,1541,292,1522,266,1495,253,1468,249,1422,259,1396,283,1382,314,1377,346,1377,347,1258,347,1277,254,1325,194,1390,160,1460,150,1502,153,1558,166,1614,195,1657,247,1675,329,1668,375,1648,414,1617,449,1573,483,1550,502,1534,522,1525,549,1522,586,1411,586xm1408,643l1530,643,1530,761,1408,761,1408,643xe" filled="false" stroked="true" strokeweight=".0432pt" strokecolor="#707070">
              <v:path arrowok="t"/>
              <v:stroke dashstyle="solid"/>
            </v:shape>
            <w10:wrap type="none"/>
          </v:group>
        </w:pict>
      </w:r>
      <w:r>
        <w:rPr>
          <w:rFonts w:ascii="Arial"/>
          <w:w w:val="105"/>
          <w:sz w:val="9"/>
        </w:rPr>
        <w:t>Signature Not Verified</w:t>
      </w:r>
    </w:p>
    <w:p>
      <w:pPr>
        <w:pStyle w:val="BodyText"/>
        <w:rPr>
          <w:rFonts w:ascii="Arial"/>
          <w:sz w:val="8"/>
        </w:rPr>
      </w:pPr>
    </w:p>
    <w:p>
      <w:pPr>
        <w:spacing w:line="206" w:lineRule="auto" w:before="50"/>
        <w:ind w:left="100" w:right="8644" w:firstLine="0"/>
        <w:jc w:val="left"/>
        <w:rPr>
          <w:rFonts w:ascii="Arial"/>
          <w:sz w:val="8"/>
        </w:rPr>
      </w:pPr>
      <w:r>
        <w:rPr/>
        <w:pict>
          <v:shape style="position:absolute;margin-left:72.099998pt;margin-top:3.196677pt;width:450.75pt;height:16.850pt;mso-position-horizontal-relative:page;mso-position-vertical-relative:paragraph;z-index:-15781888" type="#_x0000_t202" filled="false" stroked="false">
            <v:textbox inset="0,0,0,0">
              <w:txbxContent>
                <w:p>
                  <w:pPr>
                    <w:pStyle w:val="BodyText"/>
                    <w:spacing w:line="326" w:lineRule="exact"/>
                    <w:rPr>
                      <w:b w:val="0"/>
                    </w:rPr>
                  </w:pPr>
                  <w:r>
                    <w:rPr>
                      <w:b w:val="0"/>
                      <w:color w:val="000009"/>
                    </w:rPr>
                    <w:t>that she had suffered 32 per cent total body disability and was</w:t>
                  </w:r>
                </w:p>
              </w:txbxContent>
            </v:textbox>
            <w10:wrap type="none"/>
          </v:shape>
        </w:pict>
      </w:r>
      <w:r>
        <w:rPr>
          <w:rFonts w:ascii="Arial"/>
          <w:sz w:val="8"/>
        </w:rPr>
        <w:t>Digitally signed by SUSHMA KUMARI BAJAJ</w:t>
      </w:r>
    </w:p>
    <w:p>
      <w:pPr>
        <w:spacing w:line="74" w:lineRule="exact" w:before="0"/>
        <w:ind w:left="100" w:right="0" w:firstLine="0"/>
        <w:jc w:val="left"/>
        <w:rPr>
          <w:rFonts w:ascii="Arial"/>
          <w:sz w:val="8"/>
        </w:rPr>
      </w:pPr>
      <w:r>
        <w:rPr>
          <w:rFonts w:ascii="Arial"/>
          <w:sz w:val="8"/>
        </w:rPr>
        <w:t>Date: 2020.06.16</w:t>
      </w:r>
    </w:p>
    <w:p>
      <w:pPr>
        <w:spacing w:line="79" w:lineRule="exact" w:before="0"/>
        <w:ind w:left="100" w:right="0" w:firstLine="0"/>
        <w:jc w:val="left"/>
        <w:rPr>
          <w:rFonts w:ascii="Arial"/>
          <w:sz w:val="8"/>
        </w:rPr>
      </w:pPr>
      <w:r>
        <w:rPr>
          <w:rFonts w:ascii="Arial"/>
          <w:sz w:val="8"/>
        </w:rPr>
        <w:t>15:26:38 IST</w:t>
      </w:r>
    </w:p>
    <w:p>
      <w:pPr>
        <w:spacing w:line="85" w:lineRule="exact" w:before="0"/>
        <w:ind w:left="100" w:right="0" w:firstLine="0"/>
        <w:jc w:val="left"/>
        <w:rPr>
          <w:rFonts w:ascii="Arial"/>
          <w:sz w:val="8"/>
        </w:rPr>
      </w:pPr>
      <w:r>
        <w:rPr>
          <w:rFonts w:ascii="Arial"/>
          <w:sz w:val="8"/>
        </w:rPr>
        <w:t>Reason:</w:t>
      </w:r>
    </w:p>
    <w:p>
      <w:pPr>
        <w:spacing w:after="0" w:line="85" w:lineRule="exact"/>
        <w:jc w:val="left"/>
        <w:rPr>
          <w:rFonts w:ascii="Arial"/>
          <w:sz w:val="8"/>
        </w:rPr>
        <w:sectPr>
          <w:footerReference w:type="default" r:id="rId5"/>
          <w:type w:val="continuous"/>
          <w:pgSz w:w="11900" w:h="16840"/>
          <w:pgMar w:footer="1022" w:top="1360" w:bottom="1220" w:left="940" w:right="1320"/>
          <w:pgNumType w:start="1"/>
        </w:sectPr>
      </w:pPr>
    </w:p>
    <w:p>
      <w:pPr>
        <w:pStyle w:val="BodyText"/>
        <w:spacing w:line="491" w:lineRule="auto" w:before="78"/>
        <w:ind w:left="501" w:right="120"/>
        <w:jc w:val="both"/>
        <w:rPr>
          <w:b w:val="0"/>
        </w:rPr>
      </w:pPr>
      <w:r>
        <w:rPr>
          <w:b w:val="0"/>
          <w:color w:val="000009"/>
        </w:rPr>
        <w:t>not capable of doing household work. The Tribunal awarded a total compensation of Rs.5,82,500/­ with interest at the rate of 6%, redetermined by the High Court in appeal at Rs.6,50,350/­.</w:t>
      </w:r>
    </w:p>
    <w:p>
      <w:pPr>
        <w:pStyle w:val="BodyText"/>
        <w:rPr>
          <w:b w:val="0"/>
          <w:sz w:val="34"/>
        </w:rPr>
      </w:pPr>
    </w:p>
    <w:p>
      <w:pPr>
        <w:pStyle w:val="ListParagraph"/>
        <w:numPr>
          <w:ilvl w:val="0"/>
          <w:numId w:val="1"/>
        </w:numPr>
        <w:tabs>
          <w:tab w:pos="1222" w:val="left" w:leader="none"/>
        </w:tabs>
        <w:spacing w:line="491" w:lineRule="auto" w:before="275" w:after="0"/>
        <w:ind w:left="501" w:right="122" w:firstLine="0"/>
        <w:jc w:val="both"/>
        <w:rPr>
          <w:b w:val="0"/>
          <w:sz w:val="28"/>
        </w:rPr>
      </w:pPr>
      <w:r>
        <w:rPr>
          <w:b w:val="0"/>
          <w:color w:val="000009"/>
          <w:sz w:val="28"/>
        </w:rPr>
        <w:t>Learned counsel for the appellant submits that the assessment of income at Rs.4,250/­ per month was inadequate. The appellant had claimed an income of Rs.6,000/­ p.m. from a tailoring business which should have been the basis for assessment of loss of income. The medical opinion of P.W.4 with regard to extent of whole body disability has been arbitrarily reduced to</w:t>
      </w:r>
      <w:r>
        <w:rPr>
          <w:b w:val="0"/>
          <w:color w:val="000009"/>
          <w:spacing w:val="-2"/>
          <w:sz w:val="28"/>
        </w:rPr>
        <w:t> </w:t>
      </w:r>
      <w:r>
        <w:rPr>
          <w:b w:val="0"/>
          <w:color w:val="000009"/>
          <w:sz w:val="28"/>
        </w:rPr>
        <w:t>20%.</w:t>
      </w:r>
    </w:p>
    <w:p>
      <w:pPr>
        <w:pStyle w:val="BodyText"/>
        <w:rPr>
          <w:b w:val="0"/>
          <w:sz w:val="34"/>
        </w:rPr>
      </w:pPr>
    </w:p>
    <w:p>
      <w:pPr>
        <w:pStyle w:val="ListParagraph"/>
        <w:numPr>
          <w:ilvl w:val="0"/>
          <w:numId w:val="1"/>
        </w:numPr>
        <w:tabs>
          <w:tab w:pos="1222" w:val="left" w:leader="none"/>
        </w:tabs>
        <w:spacing w:line="491" w:lineRule="auto" w:before="277" w:after="0"/>
        <w:ind w:left="501" w:right="123" w:firstLine="0"/>
        <w:jc w:val="both"/>
        <w:rPr>
          <w:b w:val="0"/>
          <w:sz w:val="28"/>
        </w:rPr>
      </w:pPr>
      <w:r>
        <w:rPr>
          <w:b w:val="0"/>
          <w:color w:val="000009"/>
          <w:sz w:val="28"/>
        </w:rPr>
        <w:t>Learned counsel for respondent no.1 submitted that the High Court has adequately enhanced the compensation which calls for no further</w:t>
      </w:r>
      <w:r>
        <w:rPr>
          <w:b w:val="0"/>
          <w:color w:val="000009"/>
          <w:spacing w:val="-2"/>
          <w:sz w:val="28"/>
        </w:rPr>
        <w:t> </w:t>
      </w:r>
      <w:r>
        <w:rPr>
          <w:b w:val="0"/>
          <w:color w:val="000009"/>
          <w:sz w:val="28"/>
        </w:rPr>
        <w:t>interference.</w:t>
      </w:r>
    </w:p>
    <w:p>
      <w:pPr>
        <w:pStyle w:val="BodyText"/>
        <w:rPr>
          <w:b w:val="0"/>
          <w:sz w:val="34"/>
        </w:rPr>
      </w:pPr>
    </w:p>
    <w:p>
      <w:pPr>
        <w:pStyle w:val="ListParagraph"/>
        <w:numPr>
          <w:ilvl w:val="0"/>
          <w:numId w:val="1"/>
        </w:numPr>
        <w:tabs>
          <w:tab w:pos="1222" w:val="left" w:leader="none"/>
        </w:tabs>
        <w:spacing w:line="491" w:lineRule="auto" w:before="275" w:after="0"/>
        <w:ind w:left="501" w:right="113" w:firstLine="0"/>
        <w:jc w:val="both"/>
        <w:rPr>
          <w:b w:val="0"/>
          <w:sz w:val="28"/>
        </w:rPr>
      </w:pPr>
      <w:r>
        <w:rPr>
          <w:b w:val="0"/>
          <w:color w:val="000009"/>
          <w:sz w:val="28"/>
        </w:rPr>
        <w:t>We have considered the submissions on behalf of the parties. The appellant failed to lead any evidence in support of her claimed profession as a tailor earning approximately Rs.6,000/­ p.m. and therefore it has rightly been</w:t>
      </w:r>
      <w:r>
        <w:rPr>
          <w:b w:val="0"/>
          <w:color w:val="000009"/>
          <w:spacing w:val="-9"/>
          <w:sz w:val="28"/>
        </w:rPr>
        <w:t> </w:t>
      </w:r>
      <w:r>
        <w:rPr>
          <w:b w:val="0"/>
          <w:color w:val="000009"/>
          <w:sz w:val="28"/>
        </w:rPr>
        <w:t>rejected.</w:t>
      </w:r>
    </w:p>
    <w:p>
      <w:pPr>
        <w:spacing w:after="0" w:line="491" w:lineRule="auto"/>
        <w:jc w:val="both"/>
        <w:rPr>
          <w:sz w:val="28"/>
        </w:rPr>
        <w:sectPr>
          <w:pgSz w:w="11900" w:h="16840"/>
          <w:pgMar w:header="0" w:footer="1022" w:top="1360" w:bottom="1220" w:left="940" w:right="1320"/>
        </w:sectPr>
      </w:pPr>
    </w:p>
    <w:p>
      <w:pPr>
        <w:pStyle w:val="BodyText"/>
        <w:rPr>
          <w:b w:val="0"/>
          <w:sz w:val="20"/>
        </w:rPr>
      </w:pPr>
    </w:p>
    <w:p>
      <w:pPr>
        <w:pStyle w:val="ListParagraph"/>
        <w:numPr>
          <w:ilvl w:val="0"/>
          <w:numId w:val="1"/>
        </w:numPr>
        <w:tabs>
          <w:tab w:pos="1222" w:val="left" w:leader="none"/>
        </w:tabs>
        <w:spacing w:line="491" w:lineRule="auto" w:before="277" w:after="0"/>
        <w:ind w:left="501" w:right="121" w:firstLine="0"/>
        <w:jc w:val="both"/>
        <w:rPr>
          <w:b w:val="0"/>
          <w:sz w:val="28"/>
        </w:rPr>
      </w:pPr>
      <w:r>
        <w:rPr>
          <w:b w:val="0"/>
          <w:color w:val="000009"/>
          <w:sz w:val="28"/>
        </w:rPr>
        <w:t>The Tribunal assessed the notional income of the appellant as a housewife at Rs.3,000/­ p.m., which has been enhanced by the High Court to Rs.4,250/­ and we find no reason to interfere with the same. The appellant has been awarded Rs.3,00,000/­ towards medical expenses as she failed to lead acceptable evidence in support of her claim for Rs.4,00,000/­. We find no reason to interfere with the same also. However, we are of the considered opinion that considering the nature of injuries and age of the appellant the award of Rs.25,000/­ only towards loss of amenities and future happiness is inadequate and is enhanced to</w:t>
      </w:r>
      <w:r>
        <w:rPr>
          <w:b w:val="0"/>
          <w:color w:val="000009"/>
          <w:spacing w:val="-1"/>
          <w:sz w:val="28"/>
        </w:rPr>
        <w:t> </w:t>
      </w:r>
      <w:r>
        <w:rPr>
          <w:b w:val="0"/>
          <w:color w:val="000009"/>
          <w:sz w:val="28"/>
        </w:rPr>
        <w:t>Rs.50,000/­.</w:t>
      </w:r>
    </w:p>
    <w:p>
      <w:pPr>
        <w:pStyle w:val="BodyText"/>
        <w:rPr>
          <w:b w:val="0"/>
          <w:sz w:val="34"/>
        </w:rPr>
      </w:pPr>
    </w:p>
    <w:p>
      <w:pPr>
        <w:pStyle w:val="ListParagraph"/>
        <w:numPr>
          <w:ilvl w:val="0"/>
          <w:numId w:val="1"/>
        </w:numPr>
        <w:tabs>
          <w:tab w:pos="1222" w:val="left" w:leader="none"/>
        </w:tabs>
        <w:spacing w:line="491" w:lineRule="auto" w:before="277" w:after="0"/>
        <w:ind w:left="501" w:right="118" w:firstLine="0"/>
        <w:jc w:val="both"/>
        <w:rPr>
          <w:b w:val="0"/>
          <w:sz w:val="28"/>
        </w:rPr>
      </w:pPr>
      <w:r>
        <w:rPr>
          <w:b w:val="0"/>
          <w:color w:val="000009"/>
          <w:sz w:val="28"/>
        </w:rPr>
        <w:t>P.W.4, the Orthopedic Surgeon, deposed that the appellant had suffered nine injuries, of which seven were grievous in nature and she had to undergo two surgeries which left her disabled from doing house work and unable to walk without the aid of crutches. Her whole body disability was medically  assessed at 32%. The Tribunal, by hairsplitting the expert evidence</w:t>
      </w:r>
      <w:r>
        <w:rPr>
          <w:b w:val="0"/>
          <w:color w:val="000009"/>
          <w:spacing w:val="63"/>
          <w:sz w:val="28"/>
        </w:rPr>
        <w:t> </w:t>
      </w:r>
      <w:r>
        <w:rPr>
          <w:b w:val="0"/>
          <w:color w:val="000009"/>
          <w:sz w:val="28"/>
        </w:rPr>
        <w:t>assessed</w:t>
      </w:r>
      <w:r>
        <w:rPr>
          <w:b w:val="0"/>
          <w:color w:val="000009"/>
          <w:spacing w:val="64"/>
          <w:sz w:val="28"/>
        </w:rPr>
        <w:t> </w:t>
      </w:r>
      <w:r>
        <w:rPr>
          <w:b w:val="0"/>
          <w:color w:val="000009"/>
          <w:sz w:val="28"/>
        </w:rPr>
        <w:t>the</w:t>
      </w:r>
      <w:r>
        <w:rPr>
          <w:b w:val="0"/>
          <w:color w:val="000009"/>
          <w:spacing w:val="66"/>
          <w:sz w:val="28"/>
        </w:rPr>
        <w:t> </w:t>
      </w:r>
      <w:r>
        <w:rPr>
          <w:b w:val="0"/>
          <w:color w:val="000009"/>
          <w:sz w:val="28"/>
        </w:rPr>
        <w:t>whole</w:t>
      </w:r>
      <w:r>
        <w:rPr>
          <w:b w:val="0"/>
          <w:color w:val="000009"/>
          <w:spacing w:val="64"/>
          <w:sz w:val="28"/>
        </w:rPr>
        <w:t> </w:t>
      </w:r>
      <w:r>
        <w:rPr>
          <w:b w:val="0"/>
          <w:color w:val="000009"/>
          <w:sz w:val="28"/>
        </w:rPr>
        <w:t>body</w:t>
      </w:r>
      <w:r>
        <w:rPr>
          <w:b w:val="0"/>
          <w:color w:val="000009"/>
          <w:spacing w:val="65"/>
          <w:sz w:val="28"/>
        </w:rPr>
        <w:t> </w:t>
      </w:r>
      <w:r>
        <w:rPr>
          <w:b w:val="0"/>
          <w:color w:val="000009"/>
          <w:sz w:val="28"/>
        </w:rPr>
        <w:t>disability</w:t>
      </w:r>
      <w:r>
        <w:rPr>
          <w:b w:val="0"/>
          <w:color w:val="000009"/>
          <w:spacing w:val="65"/>
          <w:sz w:val="28"/>
        </w:rPr>
        <w:t> </w:t>
      </w:r>
      <w:r>
        <w:rPr>
          <w:b w:val="0"/>
          <w:color w:val="000009"/>
          <w:sz w:val="28"/>
        </w:rPr>
        <w:t>at</w:t>
      </w:r>
      <w:r>
        <w:rPr>
          <w:b w:val="0"/>
          <w:color w:val="000009"/>
          <w:spacing w:val="65"/>
          <w:sz w:val="28"/>
        </w:rPr>
        <w:t> </w:t>
      </w:r>
      <w:r>
        <w:rPr>
          <w:b w:val="0"/>
          <w:color w:val="000009"/>
          <w:sz w:val="28"/>
        </w:rPr>
        <w:t>15%.</w:t>
      </w:r>
      <w:r>
        <w:rPr>
          <w:b w:val="0"/>
          <w:color w:val="000009"/>
          <w:spacing w:val="66"/>
          <w:sz w:val="28"/>
        </w:rPr>
        <w:t> </w:t>
      </w:r>
      <w:r>
        <w:rPr>
          <w:b w:val="0"/>
          <w:color w:val="000009"/>
          <w:sz w:val="28"/>
        </w:rPr>
        <w:t>The</w:t>
      </w:r>
      <w:r>
        <w:rPr>
          <w:b w:val="0"/>
          <w:color w:val="000009"/>
          <w:spacing w:val="64"/>
          <w:sz w:val="28"/>
        </w:rPr>
        <w:t> </w:t>
      </w:r>
      <w:r>
        <w:rPr>
          <w:b w:val="0"/>
          <w:color w:val="000009"/>
          <w:sz w:val="28"/>
        </w:rPr>
        <w:t>High</w:t>
      </w:r>
    </w:p>
    <w:p>
      <w:pPr>
        <w:spacing w:after="0" w:line="491" w:lineRule="auto"/>
        <w:jc w:val="both"/>
        <w:rPr>
          <w:sz w:val="28"/>
        </w:rPr>
        <w:sectPr>
          <w:pgSz w:w="11900" w:h="16840"/>
          <w:pgMar w:header="0" w:footer="1022" w:top="1600" w:bottom="1220" w:left="940" w:right="1320"/>
        </w:sectPr>
      </w:pPr>
    </w:p>
    <w:p>
      <w:pPr>
        <w:pStyle w:val="BodyText"/>
        <w:spacing w:line="491" w:lineRule="auto" w:before="78"/>
        <w:ind w:left="501"/>
        <w:rPr>
          <w:b w:val="0"/>
        </w:rPr>
      </w:pPr>
      <w:r>
        <w:rPr>
          <w:b w:val="0"/>
          <w:color w:val="000009"/>
        </w:rPr>
        <w:t>Court for inexplicable reasons opined that it would be reasonable to determine the whole body disability at 20%.</w:t>
      </w:r>
    </w:p>
    <w:p>
      <w:pPr>
        <w:pStyle w:val="BodyText"/>
        <w:rPr>
          <w:b w:val="0"/>
          <w:sz w:val="34"/>
        </w:rPr>
      </w:pPr>
    </w:p>
    <w:p>
      <w:pPr>
        <w:pStyle w:val="ListParagraph"/>
        <w:numPr>
          <w:ilvl w:val="0"/>
          <w:numId w:val="1"/>
        </w:numPr>
        <w:tabs>
          <w:tab w:pos="1222" w:val="left" w:leader="none"/>
        </w:tabs>
        <w:spacing w:line="491" w:lineRule="auto" w:before="275" w:after="0"/>
        <w:ind w:left="501" w:right="118" w:firstLine="0"/>
        <w:jc w:val="both"/>
        <w:rPr>
          <w:b w:val="0"/>
          <w:sz w:val="28"/>
        </w:rPr>
      </w:pPr>
      <w:r>
        <w:rPr>
          <w:b w:val="0"/>
          <w:color w:val="000009"/>
          <w:sz w:val="28"/>
        </w:rPr>
        <w:t>The appellant is entitled to loss of future earning on basis of the whole body disability of 32% as opined by P.W.4. The compensation under that head is therefore redrawn awarding Rs.2,12,160/­ (Rs.4250 x 12 x 13 x</w:t>
      </w:r>
      <w:r>
        <w:rPr>
          <w:b w:val="0"/>
          <w:color w:val="000009"/>
          <w:spacing w:val="-6"/>
          <w:sz w:val="28"/>
        </w:rPr>
        <w:t> </w:t>
      </w:r>
      <w:r>
        <w:rPr>
          <w:b w:val="0"/>
          <w:color w:val="000009"/>
          <w:sz w:val="28"/>
        </w:rPr>
        <w:t>32%).</w:t>
      </w:r>
    </w:p>
    <w:p>
      <w:pPr>
        <w:pStyle w:val="BodyText"/>
        <w:rPr>
          <w:b w:val="0"/>
          <w:sz w:val="34"/>
        </w:rPr>
      </w:pPr>
    </w:p>
    <w:p>
      <w:pPr>
        <w:pStyle w:val="ListParagraph"/>
        <w:numPr>
          <w:ilvl w:val="0"/>
          <w:numId w:val="1"/>
        </w:numPr>
        <w:tabs>
          <w:tab w:pos="1222" w:val="left" w:leader="none"/>
        </w:tabs>
        <w:spacing w:line="513" w:lineRule="auto" w:before="276" w:after="0"/>
        <w:ind w:left="501" w:right="119" w:firstLine="0"/>
        <w:jc w:val="both"/>
        <w:rPr>
          <w:b w:val="0"/>
          <w:sz w:val="28"/>
        </w:rPr>
      </w:pPr>
      <w:r>
        <w:rPr>
          <w:b w:val="0"/>
          <w:color w:val="000009"/>
          <w:sz w:val="28"/>
        </w:rPr>
        <w:t>The appellant is therefore held entitled to a total compensation of Rs.7,54,910/</w:t>
      </w:r>
      <w:r>
        <w:rPr>
          <w:b/>
          <w:color w:val="000009"/>
          <w:sz w:val="28"/>
        </w:rPr>
        <w:t>­ </w:t>
      </w:r>
      <w:r>
        <w:rPr>
          <w:b w:val="0"/>
          <w:color w:val="000009"/>
          <w:sz w:val="28"/>
        </w:rPr>
        <w:t>along with interest at the rate of six per cent from the date of petition till the date of</w:t>
      </w:r>
      <w:r>
        <w:rPr>
          <w:b w:val="0"/>
          <w:color w:val="000009"/>
          <w:spacing w:val="-20"/>
          <w:sz w:val="28"/>
        </w:rPr>
        <w:t> </w:t>
      </w:r>
      <w:r>
        <w:rPr>
          <w:b w:val="0"/>
          <w:color w:val="000009"/>
          <w:sz w:val="28"/>
        </w:rPr>
        <w:t>realization.</w:t>
      </w:r>
    </w:p>
    <w:p>
      <w:pPr>
        <w:spacing w:after="0" w:line="513" w:lineRule="auto"/>
        <w:jc w:val="both"/>
        <w:rPr>
          <w:sz w:val="28"/>
        </w:rPr>
        <w:sectPr>
          <w:pgSz w:w="11900" w:h="16840"/>
          <w:pgMar w:header="0" w:footer="1022" w:top="1360" w:bottom="1220" w:left="940" w:right="1320"/>
        </w:sectPr>
      </w:pPr>
    </w:p>
    <w:p>
      <w:pPr>
        <w:pStyle w:val="ListParagraph"/>
        <w:numPr>
          <w:ilvl w:val="0"/>
          <w:numId w:val="1"/>
        </w:numPr>
        <w:tabs>
          <w:tab w:pos="1221" w:val="left" w:leader="none"/>
          <w:tab w:pos="1222" w:val="left" w:leader="none"/>
        </w:tabs>
        <w:spacing w:line="299" w:lineRule="exact" w:before="0" w:after="0"/>
        <w:ind w:left="1222" w:right="0" w:hanging="721"/>
        <w:jc w:val="left"/>
        <w:rPr>
          <w:b w:val="0"/>
          <w:sz w:val="28"/>
        </w:rPr>
      </w:pPr>
      <w:r>
        <w:rPr>
          <w:b w:val="0"/>
          <w:color w:val="000009"/>
          <w:sz w:val="28"/>
        </w:rPr>
        <w:t>The appeal is</w:t>
      </w:r>
      <w:r>
        <w:rPr>
          <w:b w:val="0"/>
          <w:color w:val="000009"/>
          <w:spacing w:val="-6"/>
          <w:sz w:val="28"/>
        </w:rPr>
        <w:t> </w:t>
      </w:r>
      <w:r>
        <w:rPr>
          <w:b w:val="0"/>
          <w:color w:val="000009"/>
          <w:sz w:val="28"/>
        </w:rPr>
        <w:t>allowed.</w:t>
      </w:r>
    </w:p>
    <w:p>
      <w:pPr>
        <w:pStyle w:val="BodyText"/>
        <w:rPr>
          <w:b w:val="0"/>
          <w:sz w:val="36"/>
        </w:rPr>
      </w:pPr>
      <w:r>
        <w:rPr/>
        <w:br w:type="column"/>
      </w:r>
      <w:r>
        <w:rPr>
          <w:b w:val="0"/>
          <w:sz w:val="36"/>
        </w:rPr>
      </w:r>
    </w:p>
    <w:p>
      <w:pPr>
        <w:pStyle w:val="BodyText"/>
        <w:spacing w:line="266" w:lineRule="auto" w:before="239"/>
        <w:ind w:left="1381" w:right="91" w:hanging="880"/>
        <w:rPr>
          <w:b/>
        </w:rPr>
      </w:pPr>
      <w:r>
        <w:rPr>
          <w:b/>
          <w:color w:val="000009"/>
        </w:rPr>
        <w:t>.……………………….J. (R.F. Nariman)</w:t>
      </w:r>
    </w:p>
    <w:p>
      <w:pPr>
        <w:pStyle w:val="BodyText"/>
        <w:rPr>
          <w:b/>
          <w:sz w:val="36"/>
        </w:rPr>
      </w:pPr>
    </w:p>
    <w:p>
      <w:pPr>
        <w:pStyle w:val="BodyText"/>
        <w:spacing w:line="266" w:lineRule="auto" w:before="312"/>
        <w:ind w:left="1365" w:right="92" w:hanging="864"/>
        <w:rPr>
          <w:b/>
        </w:rPr>
      </w:pPr>
      <w:r>
        <w:rPr>
          <w:b/>
          <w:color w:val="000009"/>
        </w:rPr>
        <w:t>………………………..J. (Navin Sinha)</w:t>
      </w:r>
    </w:p>
    <w:p>
      <w:pPr>
        <w:pStyle w:val="BodyText"/>
        <w:rPr>
          <w:b/>
          <w:sz w:val="36"/>
        </w:rPr>
      </w:pPr>
    </w:p>
    <w:p>
      <w:pPr>
        <w:pStyle w:val="BodyText"/>
        <w:rPr>
          <w:b/>
          <w:sz w:val="36"/>
        </w:rPr>
      </w:pPr>
    </w:p>
    <w:p>
      <w:pPr>
        <w:pStyle w:val="BodyText"/>
        <w:spacing w:before="255"/>
        <w:ind w:left="501"/>
        <w:rPr>
          <w:b/>
        </w:rPr>
      </w:pPr>
      <w:r>
        <w:rPr>
          <w:b/>
          <w:color w:val="000009"/>
        </w:rPr>
        <w:t>………………………..J.</w:t>
      </w:r>
    </w:p>
    <w:p>
      <w:pPr>
        <w:pStyle w:val="BodyText"/>
        <w:spacing w:before="37"/>
        <w:ind w:left="1599"/>
        <w:rPr>
          <w:b/>
        </w:rPr>
      </w:pPr>
      <w:r>
        <w:rPr>
          <w:b/>
          <w:color w:val="000009"/>
        </w:rPr>
        <w:t>(B.R. Gavai)</w:t>
      </w:r>
    </w:p>
    <w:p>
      <w:pPr>
        <w:spacing w:after="0"/>
        <w:sectPr>
          <w:type w:val="continuous"/>
          <w:pgSz w:w="11900" w:h="16840"/>
          <w:pgMar w:top="1360" w:bottom="1220" w:left="940" w:right="1320"/>
          <w:cols w:num="2" w:equalWidth="0">
            <w:col w:w="4278" w:space="1764"/>
            <w:col w:w="3598"/>
          </w:cols>
        </w:sectPr>
      </w:pPr>
    </w:p>
    <w:p>
      <w:pPr>
        <w:pStyle w:val="BodyText"/>
        <w:spacing w:before="6"/>
        <w:rPr>
          <w:b/>
          <w:sz w:val="24"/>
        </w:rPr>
      </w:pPr>
    </w:p>
    <w:p>
      <w:pPr>
        <w:pStyle w:val="BodyText"/>
        <w:spacing w:line="247" w:lineRule="auto" w:before="98"/>
        <w:ind w:left="501" w:right="7119"/>
        <w:rPr>
          <w:b w:val="0"/>
        </w:rPr>
      </w:pPr>
      <w:r>
        <w:rPr>
          <w:b w:val="0"/>
          <w:color w:val="000009"/>
        </w:rPr>
        <w:t>New Delhi, June 16, 2020</w:t>
      </w:r>
    </w:p>
    <w:sectPr>
      <w:type w:val="continuous"/>
      <w:pgSz w:w="11900" w:h="16840"/>
      <w:pgMar w:top="1360" w:bottom="1220" w:left="9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man Old Style">
    <w:altName w:val="Bookman Old Style"/>
    <w:charset w:val="0"/>
    <w:family w:val="roman"/>
    <w:pitch w:val="variable"/>
  </w:font>
  <w:font w:name="Verdana">
    <w:altName w:val="Verdan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1.299988pt;margin-top:779.889526pt;width:13pt;height:14.85pt;mso-position-horizontal-relative:page;mso-position-vertical-relative:page;z-index:-15782400" type="#_x0000_t202" filled="false" stroked="false">
          <v:textbox inset="0,0,0,0">
            <w:txbxContent>
              <w:p>
                <w:pPr>
                  <w:spacing w:before="3"/>
                  <w:ind w:left="60" w:right="0" w:firstLine="0"/>
                  <w:jc w:val="left"/>
                  <w:rPr>
                    <w:rFonts w:ascii="Verdana"/>
                    <w:sz w:val="22"/>
                  </w:rPr>
                </w:pPr>
                <w:r>
                  <w:rPr/>
                  <w:fldChar w:fldCharType="begin"/>
                </w:r>
                <w:r>
                  <w:rPr>
                    <w:rFonts w:ascii="Verdana"/>
                    <w:color w:val="000009"/>
                    <w:w w:val="100"/>
                    <w:sz w:val="2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2"/>
      <w:numFmt w:val="decimal"/>
      <w:lvlText w:val="%1."/>
      <w:lvlJc w:val="left"/>
      <w:pPr>
        <w:ind w:left="502" w:hanging="720"/>
        <w:jc w:val="left"/>
      </w:pPr>
      <w:rPr>
        <w:rFonts w:hint="default" w:ascii="Bookman Old Style" w:hAnsi="Bookman Old Style" w:eastAsia="Bookman Old Style" w:cs="Bookman Old Style"/>
        <w:color w:val="000009"/>
        <w:spacing w:val="-2"/>
        <w:w w:val="99"/>
        <w:sz w:val="28"/>
        <w:szCs w:val="28"/>
        <w:lang w:val="en-US" w:eastAsia="en-US" w:bidi="ar-SA"/>
      </w:rPr>
    </w:lvl>
    <w:lvl w:ilvl="1">
      <w:start w:val="0"/>
      <w:numFmt w:val="bullet"/>
      <w:lvlText w:val="•"/>
      <w:lvlJc w:val="left"/>
      <w:pPr>
        <w:ind w:left="1414" w:hanging="720"/>
      </w:pPr>
      <w:rPr>
        <w:rFonts w:hint="default"/>
        <w:lang w:val="en-US" w:eastAsia="en-US" w:bidi="ar-SA"/>
      </w:rPr>
    </w:lvl>
    <w:lvl w:ilvl="2">
      <w:start w:val="0"/>
      <w:numFmt w:val="bullet"/>
      <w:lvlText w:val="•"/>
      <w:lvlJc w:val="left"/>
      <w:pPr>
        <w:ind w:left="2328" w:hanging="720"/>
      </w:pPr>
      <w:rPr>
        <w:rFonts w:hint="default"/>
        <w:lang w:val="en-US" w:eastAsia="en-US" w:bidi="ar-SA"/>
      </w:rPr>
    </w:lvl>
    <w:lvl w:ilvl="3">
      <w:start w:val="0"/>
      <w:numFmt w:val="bullet"/>
      <w:lvlText w:val="•"/>
      <w:lvlJc w:val="left"/>
      <w:pPr>
        <w:ind w:left="3242" w:hanging="720"/>
      </w:pPr>
      <w:rPr>
        <w:rFonts w:hint="default"/>
        <w:lang w:val="en-US" w:eastAsia="en-US" w:bidi="ar-SA"/>
      </w:rPr>
    </w:lvl>
    <w:lvl w:ilvl="4">
      <w:start w:val="0"/>
      <w:numFmt w:val="bullet"/>
      <w:lvlText w:val="•"/>
      <w:lvlJc w:val="left"/>
      <w:pPr>
        <w:ind w:left="4156" w:hanging="720"/>
      </w:pPr>
      <w:rPr>
        <w:rFonts w:hint="default"/>
        <w:lang w:val="en-US" w:eastAsia="en-US" w:bidi="ar-SA"/>
      </w:rPr>
    </w:lvl>
    <w:lvl w:ilvl="5">
      <w:start w:val="0"/>
      <w:numFmt w:val="bullet"/>
      <w:lvlText w:val="•"/>
      <w:lvlJc w:val="left"/>
      <w:pPr>
        <w:ind w:left="5070" w:hanging="720"/>
      </w:pPr>
      <w:rPr>
        <w:rFonts w:hint="default"/>
        <w:lang w:val="en-US" w:eastAsia="en-US" w:bidi="ar-SA"/>
      </w:rPr>
    </w:lvl>
    <w:lvl w:ilvl="6">
      <w:start w:val="0"/>
      <w:numFmt w:val="bullet"/>
      <w:lvlText w:val="•"/>
      <w:lvlJc w:val="left"/>
      <w:pPr>
        <w:ind w:left="5984" w:hanging="720"/>
      </w:pPr>
      <w:rPr>
        <w:rFonts w:hint="default"/>
        <w:lang w:val="en-US" w:eastAsia="en-US" w:bidi="ar-SA"/>
      </w:rPr>
    </w:lvl>
    <w:lvl w:ilvl="7">
      <w:start w:val="0"/>
      <w:numFmt w:val="bullet"/>
      <w:lvlText w:val="•"/>
      <w:lvlJc w:val="left"/>
      <w:pPr>
        <w:ind w:left="6898" w:hanging="720"/>
      </w:pPr>
      <w:rPr>
        <w:rFonts w:hint="default"/>
        <w:lang w:val="en-US" w:eastAsia="en-US" w:bidi="ar-SA"/>
      </w:rPr>
    </w:lvl>
    <w:lvl w:ilvl="8">
      <w:start w:val="0"/>
      <w:numFmt w:val="bullet"/>
      <w:lvlText w:val="•"/>
      <w:lvlJc w:val="left"/>
      <w:pPr>
        <w:ind w:left="7812" w:hanging="72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man Old Style" w:hAnsi="Bookman Old Style" w:eastAsia="Bookman Old Style" w:cs="Bookman Old Style"/>
      <w:lang w:val="en-US" w:eastAsia="en-US" w:bidi="ar-SA"/>
    </w:rPr>
  </w:style>
  <w:style w:styleId="BodyText" w:type="paragraph">
    <w:name w:val="Body Text"/>
    <w:basedOn w:val="Normal"/>
    <w:uiPriority w:val="1"/>
    <w:qFormat/>
    <w:pPr/>
    <w:rPr>
      <w:rFonts w:ascii="Bookman Old Style" w:hAnsi="Bookman Old Style" w:eastAsia="Bookman Old Style" w:cs="Bookman Old Style"/>
      <w:sz w:val="28"/>
      <w:szCs w:val="28"/>
      <w:lang w:val="en-US" w:eastAsia="en-US" w:bidi="ar-SA"/>
    </w:rPr>
  </w:style>
  <w:style w:styleId="ListParagraph" w:type="paragraph">
    <w:name w:val="List Paragraph"/>
    <w:basedOn w:val="Normal"/>
    <w:uiPriority w:val="1"/>
    <w:qFormat/>
    <w:pPr>
      <w:ind w:left="501" w:right="118"/>
      <w:jc w:val="both"/>
    </w:pPr>
    <w:rPr>
      <w:rFonts w:ascii="Bookman Old Style" w:hAnsi="Bookman Old Style" w:eastAsia="Bookman Old Style" w:cs="Bookman Old Style"/>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ASHVANI</dc:creator>
  <dcterms:created xsi:type="dcterms:W3CDTF">2020-06-17T05:01:46Z</dcterms:created>
  <dcterms:modified xsi:type="dcterms:W3CDTF">2020-06-17T05:01:46Z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2020-06-16T00:00:00Z</vt:filetime>
  </property>
  <property fmtid="{D5CDD505-2E9C-101B-9397-08002B2CF9AE}" pid="3" name="Creator">
    <vt:lpwstr>Writer</vt:lpwstr>
  </property>
  <property fmtid="{D5CDD505-2E9C-101B-9397-08002B2CF9AE}" pid="4" name="LastSaved">
    <vt:filetime>2020-06-17T00:00:00Z</vt:filetime>
  </property>
</Properties>
</file>